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NewRoman" w:hAnsi="TimesNewRoman" w:eastAsia="方正小标宋_GBK" w:cs="TimesNewRoman"/>
          <w:sz w:val="44"/>
          <w:szCs w:val="44"/>
        </w:rPr>
      </w:pPr>
      <w:r>
        <w:rPr>
          <w:rFonts w:hint="default" w:ascii="TimesNewRoman" w:hAnsi="TimesNewRoman" w:eastAsia="方正小标宋_GBK" w:cs="TimesNewRoman"/>
          <w:sz w:val="44"/>
          <w:szCs w:val="44"/>
        </w:rPr>
        <w:t>垫江县道路运输事务管理中心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NewRoman" w:hAnsi="TimesNewRoman" w:eastAsia="方正小标宋_GBK" w:cs="TimesNewRoman"/>
          <w:sz w:val="44"/>
          <w:szCs w:val="44"/>
          <w:shd w:val="clear" w:color="auto" w:fill="FFFFFF"/>
        </w:rPr>
      </w:pPr>
      <w:r>
        <w:rPr>
          <w:rFonts w:hint="default" w:ascii="TimesNewRoman" w:hAnsi="TimesNewRoman" w:eastAsia="方正小标宋_GBK" w:cs="TimesNewRoman"/>
          <w:sz w:val="44"/>
          <w:szCs w:val="44"/>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NewRoman" w:hAnsi="TimesNewRoman" w:eastAsia="方正小标宋_GBK" w:cs="TimesNewRoman"/>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1.承担全县道路客货运输、客货运输</w:t>
      </w:r>
      <w:bookmarkStart w:id="0" w:name="_GoBack"/>
      <w:bookmarkEnd w:id="0"/>
      <w:r>
        <w:rPr>
          <w:rFonts w:hint="default" w:ascii="TimesNewRoman" w:hAnsi="TimesNewRoman" w:eastAsia="方正仿宋_GBK" w:cs="TimesNewRoman"/>
          <w:sz w:val="32"/>
          <w:szCs w:val="32"/>
        </w:rPr>
        <w:t>站（场、点）、城市公交客运站（场）、机动车维修业、机动车驾驶员培训机构等道路运输行业的布局、定点、定级、标准化建设、信用评价和安全服务质量考核的行政辅助工作。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2.承担道路旅客运输、道路货物运输、道路客货运站场、汽车租赁行业管理的行政辅助工作。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3.参与道路运输行业转型升级、城乡客运一体化、公交优先发展战略及巡游出租车与网约车统筹发展的推进工作。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4.承担道路运输与其他运输方式协调发展的行政辅助工作。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5.负责协调道路客货运输、城市公共交通线路及线网规划、道路运输各层次和各种运输方式之间的关系。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6.承担道路运输从业人员的安全知识、技能适应性和管理能力培训工作。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7.承担道路运输行业统计分析及市场预测信息引导服务工作，定期报告道路运输市场运行情况，参与道路运输改革发展政策的评估工作。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8.承担道路运输市场运行监测的行政辅助工作，对全县道路运输行业进行抽样调查，定期收集道路运输经营者及道路运输相关业务经营信息。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9.负责道路运输服务质量、车辆维修质量、驾驶培训质量的投诉调解等事务工作。负责营业性运输车辆的技术管理服务工作。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10.承担全县道路运输行业安全管理和应急处置的行政辅助工作。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lang w:eastAsia="zh-CN"/>
        </w:rPr>
        <w:t>（二）</w:t>
      </w:r>
      <w:r>
        <w:rPr>
          <w:rFonts w:hint="default" w:ascii="TimesNewRoman" w:hAnsi="TimesNewRoman" w:eastAsia="方正楷体_GBK" w:cs="TimesNewRoman"/>
          <w:sz w:val="32"/>
          <w:szCs w:val="32"/>
        </w:rPr>
        <w:t>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本单位下设办公室、财务科、运输安全管理科、安全法规科、车辆维修管理科和培训管理科等6个科室。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二、单位决算收支情况说明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1.总体情况。2024年度收入总计1071.90万元，支出总计1071.90万元。收、支与2023年度相比，减少542.59万元，下降33.6%，主要原因是本年度农村客运补贴没有及时拨付，农村客运保险市级补助减少。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收入情况。2024年度收入合计1055.07万元，与2023年度相比，减少554.02万元，下降34.4%，主要原因是本年度农村客运补贴没有及时拨付，农村客运保险市级补助减少。其中：财政拨款收入1055.07万元，占100.0%；事业收入0.00万元，占0.0%；经营收入0.00万元，占0.0%；其他收入0.00万元，占0.0%。此外，使用非财政拨款结余和专用结余0.00万元，年初结转和结余16.84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支出情况。2024年度支出合计1055.77万元，与2023年度相比，减少553.32万元，下降34.4%，主要原因是本年度农村客运补贴没有及时拨付，农村客运保险市级补助减少。其中：基本支出475.91万元，占45.1%；项目支出579.86万元，占54.9%；经营支出0.00万元，占0.0%。此外，结余分配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4.结转结余情况。2024年度年末结转和结余16.13万元，与2023年度相比，增加10.73万元，增长198.7%，主要原因是修正会计差错导致的误差。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2024年度财政拨款收、支总计1055.07万元。与2023年相比，财政拨款收、支总计各减少559.42万元，下降34.7%。主要原因是本年度农村客运补贴没有及时拨付，农村客运保险市级补助减少。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收入情况。2024年度一般公共预算财政拨款收入1055.07万元，与2023年度相比，减少554.02万元，下降34.4%。主要原因是本年度农村客运补贴没有及时拨付，农村客运保险市级补助减少。较年初预算数减少111.63万元，下降9.6%。主要原因是本年度农村客运补贴没有及时拨付，农村客运保险市级补助减少。此外，年初财政拨款结转和结余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支出情况。2024年度一般公共预算财政拨款支出1055.07万元，与2023年度相比，减少554.02万元，下降34.4%。主要原因是本年度农村客运补贴没有及时拨付。较年初预算数减少111.63万元，下降9.6%。主要原因是本年度农村客运补贴没有及时拨付，农村客运保险市级补助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3.结转结余情况。2024年度年末一般公共预算财政拨款结转和结余0.00万元，与2023年度相比，减少5.40万元，下降100.0%，主要原因是2024年度年末无一般公共预算财政拨款结转和结余。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4.比较情况。本单位2024年度一般公共预算财政拨款支出主要用于以下几个方面：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教育支出1.05万元，占0.1%，较年初预算数减少0.10万元，下降8.7%，主要原因是行业相关培训减少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社会保障与就业支出108.60万元，占10.3%，较年初预算数增加0.57万元，增长0.5%，主要原因是养老保险缴费基数增加。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卫生健康支出19.99万元，占1.9%，较年初预算数无增减，主要原因是预算执行与年初预算无差异。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（4）交通运输支出898.39万元，占85.2%，较年初预算数减少112.10万元，下降11.1%，主要原因是本年度农村客运补贴没有及时拨付，农村客运保险市级补助减少。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（5）住房保障支出27.04万元，占2.6%，较年初预算数无增减，主要原因是预算执行与年初预算无差异。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一般公共财政拨款基本支出475.91万元。其中：人员经费410.21万元，与2023年度相比，增加25.23万元，增长6.6%，主要原因是2024年人员工资普调，工会经费增加。人员经费用途主要包括人员工资、奖金、社保统筹等。公用经费65.71万元，与2023年度相比，减少0.47万元，下降0.7%，主要原因是本年度厉行节约减少办公用品开支。公用经费用途主要包括办公费、邮电费、劳务费、接待费、培训费、工会经费、</w:t>
      </w:r>
      <w:r>
        <w:rPr>
          <w:rFonts w:hint="default" w:ascii="TimesNewRoman" w:hAnsi="TimesNewRoman" w:eastAsia="方正仿宋_GBK" w:cs="TimesNewRoman"/>
          <w:sz w:val="32"/>
          <w:szCs w:val="32"/>
          <w:lang w:eastAsia="zh-CN"/>
        </w:rPr>
        <w:t>其他</w:t>
      </w:r>
      <w:r>
        <w:rPr>
          <w:rFonts w:hint="default" w:ascii="TimesNewRoman" w:hAnsi="TimesNewRoman" w:eastAsia="方正仿宋_GBK" w:cs="TimesNewRoman"/>
          <w:sz w:val="32"/>
          <w:szCs w:val="32"/>
        </w:rPr>
        <w:t>交通费和</w:t>
      </w:r>
      <w:r>
        <w:rPr>
          <w:rFonts w:hint="default" w:ascii="TimesNewRoman" w:hAnsi="TimesNewRoman" w:eastAsia="方正仿宋_GBK" w:cs="TimesNewRoman"/>
          <w:sz w:val="32"/>
          <w:szCs w:val="32"/>
          <w:lang w:eastAsia="zh-CN"/>
        </w:rPr>
        <w:t>其他</w:t>
      </w:r>
      <w:r>
        <w:rPr>
          <w:rFonts w:hint="default" w:ascii="TimesNewRoman" w:hAnsi="TimesNewRoman" w:eastAsia="方正仿宋_GBK" w:cs="TimesNewRoman"/>
          <w:sz w:val="32"/>
          <w:szCs w:val="32"/>
        </w:rPr>
        <w:t>商品服务支出。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2024年度国有资本经营预算财政拨</w:t>
      </w:r>
      <w:r>
        <w:rPr>
          <w:rFonts w:hint="default" w:ascii="TimesNewRoman" w:hAnsi="TimesNewRoman" w:eastAsia="方正仿宋_GBK" w:cs="TimesNewRoman"/>
          <w:sz w:val="32"/>
          <w:szCs w:val="32"/>
          <w:lang w:eastAsia="zh-CN"/>
        </w:rPr>
        <w:t>款</w:t>
      </w:r>
      <w:r>
        <w:rPr>
          <w:rFonts w:hint="default" w:ascii="TimesNewRoman" w:hAnsi="TimesNewRoman" w:eastAsia="方正仿宋_GBK" w:cs="TimesNewRoman"/>
          <w:sz w:val="32"/>
          <w:szCs w:val="32"/>
        </w:rPr>
        <w:t>本年支出0.00万元，基本支出0.00万元，项目支出0.00万元。本单位2024年度无国有资本经营预算财政拨款支出。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2024年度“三公”经费支出共计29.81万元，较年初预算数增加24.01万元，增长414.0%，主要原因是本年度新购了一台公务车。较上年支出数增加24.01万元，增长414.0%，主要原因是本年度新购了一台公务车。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公务车购置费24.48万元，主要用于新购一台公务车。费用支出较年初预算数增加24.48万元，增长100.0%，主要原因是新购了一台公务车。较上年支出数增加24.48万元，增长100.0%，主要原因是新购了一台公务车。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公务车运行维护费3.94万元，主要用于公务车运行维护费。费用支出较年初预算数减少0.06万元，下降1.5%，主要原因是公务车运行维护费减少。较上年支出数减少0.06万元，下降1.5%，主要原因是公务车新车运行维护费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公务接待费1.39万元，主要用于接待行业工作开展。费用支出较年初预算数减少0.41万元，下降22.8%，主要原因是本年度厉行节约，接待人次减少。较上年支出数减少0.41万元，下降22.8%，主要原因是本年度厉行节约，接待人次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本单位因公出国（境）共计0个团组，0人；公务用车购置1辆，公务车保有量为1辆；国内公务接待14批次140人，其中：国内外事接待0批次，0人；国（境）外公务接待0批次，0人。2024年本单位人均接待费99.08元，车均购置费24.48万元，车均维护费3.94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本年度会议费支出0.00万元，较上年决算数无增减，主要原因是上年和本年均未发生会议费支出。本年度培训费支出1.05万元，与2023年度相比，增加0.57万元，增长118.8%，主要原因是本年度人员参加培训的人次增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机关运行经费支出65.71万元，机关运行经费主要用于开支办公费、水费、电费、邮电费、差旅、培训费、公务接待费、劳务费、工会经费、福利费、公务车运行维护费、其他交通费用。机关运行经费较上年支出数减少0.47万元，下降0.7%，主要原因是厉行节约严格落实过紧日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政府采购支出总额27.46万元，其中：政府采购货物支出27.46万元、政府采购工程支出0.00万元、政府采购服务支出0.00万元。授予中小企业合同金额0.00万元，占政府采购支出总额的0.00%，其中：授予小微企业合同金额0.00万元，占政府采购支出总额的0.00 %。主要用于采购办公电脑，公务车一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五、2024年度预算绩效管理情况说明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（一）单位自评情况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根据预算绩效管理要求，我单位对2个二级项目开展了绩效自评，涉及财政拨款项目支出资金310.56万元。</w:t>
      </w:r>
    </w:p>
    <w:p>
      <w:pPr>
        <w:pStyle w:val="12"/>
        <w:spacing w:before="0" w:beforeAutospacing="0" w:after="0" w:afterAutospacing="0" w:line="596" w:lineRule="exact"/>
        <w:ind w:firstLine="880" w:firstLineChars="200"/>
        <w:jc w:val="center"/>
        <w:rPr>
          <w:rFonts w:hint="default" w:ascii="TimesNewRoman" w:hAnsi="TimesNewRoman" w:eastAsia="方正小标宋_GBK" w:cs="TimesNewRoman"/>
          <w:b w:val="0"/>
          <w:bCs w:val="0"/>
          <w:sz w:val="44"/>
          <w:szCs w:val="44"/>
          <w:shd w:val="clear" w:color="auto" w:fill="FFFFFF"/>
          <w:lang w:val="en-US" w:eastAsia="zh-CN"/>
        </w:rPr>
      </w:pPr>
      <w:r>
        <w:rPr>
          <w:rFonts w:hint="default" w:ascii="TimesNewRoman" w:hAnsi="TimesNewRoman" w:eastAsia="方正小标宋_GBK" w:cs="TimesNewRoman"/>
          <w:b w:val="0"/>
          <w:bCs w:val="0"/>
          <w:sz w:val="44"/>
          <w:szCs w:val="44"/>
          <w:shd w:val="clear" w:color="auto" w:fill="FFFFFF"/>
        </w:rPr>
        <w:t>项目支出绩效自评表</w:t>
      </w:r>
      <w:r>
        <w:rPr>
          <w:rFonts w:hint="default" w:ascii="TimesNewRoman" w:hAnsi="TimesNewRoman" w:eastAsia="方正小标宋_GBK" w:cs="TimesNewRoman"/>
          <w:b w:val="0"/>
          <w:bCs w:val="0"/>
          <w:sz w:val="44"/>
          <w:szCs w:val="44"/>
          <w:shd w:val="clear" w:color="auto" w:fill="FFFFFF"/>
          <w:lang w:val="en-US" w:eastAsia="zh-CN"/>
        </w:rPr>
        <w:t>1</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65"/>
        <w:gridCol w:w="821"/>
        <w:gridCol w:w="821"/>
        <w:gridCol w:w="664"/>
        <w:gridCol w:w="665"/>
        <w:gridCol w:w="766"/>
        <w:gridCol w:w="809"/>
        <w:gridCol w:w="664"/>
        <w:gridCol w:w="488"/>
        <w:gridCol w:w="718"/>
        <w:gridCol w:w="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乡镇至行政村农客车辆营运补贴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50023122T000000146825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90.04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eastAsia="宋体" w:cs="TimesNewRoman"/>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Chars="0"/>
              <w:jc w:val="center"/>
              <w:textAlignment w:val="center"/>
              <w:rPr>
                <w:rFonts w:hint="default" w:ascii="TimesNewRoman" w:hAnsi="TimesNewRoman" w:eastAsia="微软雅黑" w:cs="TimesNewRoman"/>
                <w:b/>
                <w:i w:val="0"/>
                <w:color w:val="808080"/>
                <w:sz w:val="28"/>
                <w:szCs w:val="28"/>
                <w:u w:val="none"/>
              </w:rPr>
            </w:pPr>
            <w:r>
              <w:rPr>
                <w:rFonts w:hint="default" w:ascii="TimesNewRoman" w:hAnsi="TimesNewRoman" w:eastAsia="方正黑体_GBK" w:cs="TimesNewRoman"/>
                <w:b w:val="0"/>
                <w:bCs/>
                <w:i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eastAsia="宋体" w:cs="TimesNewRoman"/>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2,501,600.00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1,919,224.00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1,919,224.00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2,501,600.00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1,919,224.00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1,919,224.00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2,501,600.00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1,919,224.00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1,919,224.00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微软雅黑" w:cs="TimesNewRoman"/>
                <w:b/>
                <w:i w:val="0"/>
                <w:color w:val="808080"/>
                <w:sz w:val="28"/>
                <w:szCs w:val="28"/>
                <w:u w:val="none"/>
              </w:rPr>
            </w:pPr>
            <w:r>
              <w:rPr>
                <w:rFonts w:hint="default" w:ascii="TimesNewRoman" w:hAnsi="TimesNewRoman" w:eastAsia="方正黑体_GBK" w:cs="TimesNewRoman"/>
                <w:b w:val="0"/>
                <w:bCs/>
                <w:i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农客车辆营运补贴，系2023年乡镇至村、村至村农用客车营运补贴，每天每座补贴4元。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NewRoman" w:hAnsi="TimesNewRoman" w:eastAsia="宋体" w:cs="TimesNewRoman"/>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圆满完成农客车辆营运补贴任务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微软雅黑" w:cs="TimesNewRoman"/>
                <w:b/>
                <w:i w:val="0"/>
                <w:color w:val="808080"/>
                <w:sz w:val="28"/>
                <w:szCs w:val="28"/>
                <w:u w:val="none"/>
              </w:rPr>
            </w:pPr>
            <w:r>
              <w:rPr>
                <w:rFonts w:hint="default" w:ascii="TimesNewRoman" w:hAnsi="TimesNewRoman" w:eastAsia="方正黑体_GBK" w:cs="TimesNewRoman"/>
                <w:b w:val="0"/>
                <w:bCs/>
                <w:i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乡镇至村、村至村农村客运车辆数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发放合格率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降低经营者负担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提高农村客运经营者积极性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农村客运经营者满意度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补助总额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2131600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1919224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bl>
    <w:p>
      <w:pPr>
        <w:pStyle w:val="12"/>
        <w:spacing w:before="0" w:beforeAutospacing="0" w:after="0" w:afterAutospacing="0" w:line="596" w:lineRule="exact"/>
        <w:ind w:firstLine="880" w:firstLineChars="200"/>
        <w:jc w:val="center"/>
        <w:rPr>
          <w:rFonts w:hint="default" w:ascii="TimesNewRoman" w:hAnsi="TimesNewRoman" w:eastAsia="方正小标宋_GBK" w:cs="TimesNewRoman"/>
          <w:b w:val="0"/>
          <w:bCs w:val="0"/>
          <w:sz w:val="44"/>
          <w:szCs w:val="44"/>
          <w:shd w:val="clear" w:color="auto" w:fill="FFFFFF"/>
          <w:lang w:val="en-US" w:eastAsia="zh-CN"/>
        </w:rPr>
      </w:pPr>
      <w:r>
        <w:rPr>
          <w:rFonts w:hint="default" w:ascii="TimesNewRoman" w:hAnsi="TimesNewRoman" w:eastAsia="方正小标宋_GBK" w:cs="TimesNewRoman"/>
          <w:b w:val="0"/>
          <w:bCs w:val="0"/>
          <w:sz w:val="44"/>
          <w:szCs w:val="44"/>
          <w:shd w:val="clear" w:color="auto" w:fill="FFFFFF"/>
        </w:rPr>
        <w:t>项目支出绩效自评表</w:t>
      </w:r>
      <w:r>
        <w:rPr>
          <w:rFonts w:hint="default" w:ascii="TimesNewRoman" w:hAnsi="TimesNewRoman" w:eastAsia="方正小标宋_GBK" w:cs="TimesNewRoman"/>
          <w:b w:val="0"/>
          <w:bCs w:val="0"/>
          <w:sz w:val="44"/>
          <w:szCs w:val="44"/>
          <w:shd w:val="clear" w:color="auto" w:fill="FFFFFF"/>
          <w:lang w:val="en-US" w:eastAsia="zh-CN"/>
        </w:rPr>
        <w:t>2</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89"/>
        <w:gridCol w:w="758"/>
        <w:gridCol w:w="758"/>
        <w:gridCol w:w="814"/>
        <w:gridCol w:w="651"/>
        <w:gridCol w:w="750"/>
        <w:gridCol w:w="791"/>
        <w:gridCol w:w="649"/>
        <w:gridCol w:w="478"/>
        <w:gridCol w:w="702"/>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农村客运保险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50023122T000002054098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eastAsia="宋体" w:cs="TimesNewRoman"/>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204-垫江县交通运输委员会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005-经建科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陈老师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lang w:val="en-US"/>
              </w:rPr>
            </w:pPr>
            <w:r>
              <w:rPr>
                <w:rFonts w:hint="default" w:ascii="TimesNewRoman" w:hAnsi="TimesNewRoman" w:cs="TimesNewRoman"/>
                <w:i w:val="0"/>
                <w:color w:val="000000"/>
                <w:kern w:val="0"/>
                <w:sz w:val="22"/>
                <w:szCs w:val="22"/>
                <w:u w:val="none"/>
                <w:lang w:val="en-US" w:eastAsia="zh-CN" w:bidi="ar"/>
              </w:rPr>
              <w:t>023-74636548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微软雅黑" w:cs="TimesNewRoman"/>
                <w:b/>
                <w:i w:val="0"/>
                <w:color w:val="808080"/>
                <w:sz w:val="28"/>
                <w:szCs w:val="28"/>
                <w:u w:val="none"/>
              </w:rPr>
            </w:pPr>
            <w:r>
              <w:rPr>
                <w:rFonts w:hint="default" w:ascii="TimesNewRoman" w:hAnsi="TimesNewRoman" w:eastAsia="方正黑体_GBK" w:cs="TimesNewRoman"/>
                <w:b w:val="0"/>
                <w:bCs/>
                <w:i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eastAsia="宋体" w:cs="TimesNewRoman"/>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1,360,000.00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1,186,372.99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1,186,372.99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1,360,000.00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1,186,372.99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1,186,372.99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1,360,000.00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1,186,372.99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 xml:space="preserve">1,186,372.99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eastAsia="宋体" w:cs="TimesNewRoman"/>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微软雅黑" w:cs="TimesNewRoman"/>
                <w:b/>
                <w:i w:val="0"/>
                <w:color w:val="808080"/>
                <w:sz w:val="28"/>
                <w:szCs w:val="28"/>
                <w:u w:val="none"/>
              </w:rPr>
            </w:pPr>
            <w:r>
              <w:rPr>
                <w:rFonts w:hint="default" w:ascii="TimesNewRoman" w:hAnsi="TimesNewRoman" w:eastAsia="方正黑体_GBK" w:cs="TimesNewRoman"/>
                <w:b w:val="0"/>
                <w:bCs/>
                <w:i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农客车辆保险系2022年农村客运车辆购买保险费、承运人责任险、交强险和第三者责任险。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NewRoman" w:hAnsi="TimesNewRoman" w:eastAsia="宋体" w:cs="TimesNewRoman"/>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农客车辆保险、承运人责任险、交强险、第三者责任险已全部购买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微软雅黑" w:cs="TimesNewRoman"/>
                <w:b/>
                <w:i w:val="0"/>
                <w:color w:val="808080"/>
                <w:sz w:val="28"/>
                <w:szCs w:val="28"/>
                <w:u w:val="none"/>
              </w:rPr>
            </w:pPr>
            <w:r>
              <w:rPr>
                <w:rFonts w:hint="default" w:ascii="TimesNewRoman" w:hAnsi="TimesNewRoman" w:eastAsia="方正黑体_GBK" w:cs="TimesNewRoman"/>
                <w:b w:val="0"/>
                <w:bCs/>
                <w:i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NewRoman" w:hAnsi="TimesNewRoman" w:eastAsia="宋体" w:cs="TimesNewRoman"/>
                <w:b/>
                <w:i w:val="0"/>
                <w:color w:val="000000"/>
                <w:sz w:val="22"/>
                <w:szCs w:val="22"/>
                <w:u w:val="none"/>
              </w:rPr>
            </w:pPr>
            <w:r>
              <w:rPr>
                <w:rFonts w:hint="default" w:ascii="TimesNewRoman" w:hAnsi="TimesNewRoman" w:eastAsia="宋体" w:cs="TimesNewRoman"/>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10座及以下车辆数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11-20座车辆数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部分车辆报废处理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21-36座车辆数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部分车辆报废处理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37座以上车辆数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保险车辆覆盖率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年度任务按时完成率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降低经营者负担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调动农村客运经营者积极性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农村客运经营者满意度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承运人责任险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第三者责任补助标准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交强险补助标准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NewRoman" w:hAnsi="TimesNewRoman" w:eastAsia="宋体" w:cs="TimesNewRoman"/>
                <w:i w:val="0"/>
                <w:color w:val="000000"/>
                <w:sz w:val="22"/>
                <w:szCs w:val="22"/>
                <w:u w:val="none"/>
              </w:rPr>
            </w:pPr>
            <w:r>
              <w:rPr>
                <w:rFonts w:hint="default" w:ascii="TimesNewRoman" w:hAnsi="TimesNewRoman" w:eastAsia="宋体" w:cs="TimesNewRoman"/>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NewRoman" w:hAnsi="TimesNewRoman" w:eastAsia="宋体" w:cs="TimesNewRoman"/>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（二）单位绩效评价情况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我单位未组织开展绩效评价。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（三）财政绩效评价情况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lang w:val="en-US" w:eastAsia="zh-CN"/>
        </w:rPr>
      </w:pPr>
      <w:r>
        <w:rPr>
          <w:rFonts w:hint="default" w:ascii="TimesNewRoman" w:hAnsi="TimesNewRoman" w:eastAsia="方正仿宋_GBK" w:cs="TimesNewRoman"/>
          <w:sz w:val="32"/>
          <w:szCs w:val="32"/>
          <w:lang w:val="en-US" w:eastAsia="zh-CN"/>
        </w:rPr>
        <w:t>县财政局委托第三方对我单位乡镇至行政村农客车辆营运补贴开展了重点绩效评价，涉及财政拨款项目资金250.16万元，评价得分90分，评价等次为“优”，绩效评价发现了项目绩效目标编制不完善，指标设置不准确； 项目预算编制不合理，预算执行情况欠佳；质量监控不到位，群众满意度有待提升等主要问题，提出完善绩效目标设置，调整绩效指标分类；按规定编制预算，加强预算执行监管；加强质量监控力度，提升群众满意度等下一步工作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（三）经营收入：指事业单位在专业业务活动及其辅助活动之外开展非独立核算经营活动取得的现金流入。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（四）其他收入：指单位取得的除“财政拨款收入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事业收入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（五）使用非财政拨款结余：指单位在当年的“财政拨款收入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事业收入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经营收入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（六）年初结转和结余：指单位上年结转本年使用的基本支出结转、项目支出结转和结余、经营结余。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（七）结余分配：指单位按照国家有关规定，缴纳所得税、提取专用基金、转入非财政拨款结余等当年结余的分配情况。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（八）年末结转和结余：指单位结转下年的基本支出结转、项目支出结转和结余、经营结余。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（十六）对个人和家庭的补助（支出经济分类科目类级）：反映用于对个人和家庭的补助支出。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本单位决算公开信息反馈和联系方式：023-74636548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sectPr>
          <w:footerReference r:id="rId3" w:type="default"/>
          <w:pgSz w:w="11915" w:h="16840"/>
          <w:pgMar w:top="2098" w:right="1474" w:bottom="1984" w:left="1587" w:header="851" w:footer="1474"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NewRoman" w:hAnsi="TimesNewRoman" w:cs="TimesNew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sz w:val="22"/>
                <w:szCs w:val="22"/>
              </w:rPr>
            </w:pPr>
            <w:r>
              <w:rPr>
                <w:rFonts w:hint="default" w:ascii="TimesNewRoman" w:hAnsi="TimesNewRoman" w:cs="TimesNewRoman"/>
                <w:sz w:val="20"/>
                <w:szCs w:val="20"/>
              </w:rPr>
              <w:t>单位：</w:t>
            </w:r>
            <w:r>
              <w:rPr>
                <w:rFonts w:hint="default" w:ascii="TimesNewRoman" w:hAnsi="TimesNewRoman" w:cs="TimesNewRoman"/>
                <w:sz w:val="20"/>
              </w:rPr>
              <w:t>垫江县道路运输事务管理中心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1,055.07</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108.60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19.99</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899.10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27.04</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1,055.07</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1,055.77</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16.84</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16.13</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1,071.90</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1,071.90</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p>
    <w:p>
      <w:pPr>
        <w:spacing w:line="240" w:lineRule="exact"/>
        <w:rPr>
          <w:rFonts w:hint="default" w:ascii="TimesNewRoman" w:hAnsi="TimesNewRoman" w:cs="TimesNewRoman"/>
          <w:sz w:val="20"/>
          <w:szCs w:val="20"/>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hint="default" w:ascii="TimesNewRoman" w:hAnsi="TimesNewRoman" w:cs="TimesNewRoman"/>
          <w:sz w:val="20"/>
          <w:szCs w:val="20"/>
        </w:rPr>
        <w:t>备注：1.本表反映单位本年度的总收支和年末结转结余情况。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p>
    <w:p>
      <w:pPr>
        <w:spacing w:line="240" w:lineRule="exact"/>
        <w:rPr>
          <w:rFonts w:hint="default" w:ascii="TimesNewRoman" w:hAnsi="TimesNewRoman" w:cs="TimesNewRoman"/>
          <w:sz w:val="20"/>
          <w:szCs w:val="20"/>
        </w:rPr>
      </w:pP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tbl>
      <w:tblPr>
        <w:tblStyle w:val="7"/>
        <w:tblW w:w="5059" w:type="pct"/>
        <w:jc w:val="center"/>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收入决算表</w:t>
            </w:r>
          </w:p>
        </w:tc>
      </w:tr>
      <w:tr>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sz w:val="20"/>
              </w:rPr>
              <w:t>垫江县道路运输事务管理中心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公开02表</w:t>
            </w:r>
          </w:p>
        </w:tc>
      </w:tr>
      <w:tr>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其他收入</w:t>
            </w:r>
          </w:p>
        </w:tc>
      </w:tr>
      <w:tr>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1,055.07</w:t>
            </w:r>
            <w:r>
              <w:rPr>
                <w:rFonts w:hint="default" w:ascii="TimesNewRoman" w:hAnsi="TimesNewRoman" w:cs="TimesNew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1,055.07</w:t>
            </w:r>
            <w:r>
              <w:rPr>
                <w:rFonts w:hint="default" w:ascii="TimesNewRoman" w:hAnsi="TimesNewRoman" w:cs="TimesNew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w:t>
            </w:r>
            <w:r>
              <w:rPr>
                <w:rFonts w:hint="default" w:ascii="TimesNewRoman" w:hAnsi="TimesNewRoman" w:cs="TimesNew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w:t>
            </w:r>
            <w:r>
              <w:rPr>
                <w:rFonts w:hint="default" w:ascii="TimesNewRoman" w:hAnsi="TimesNewRoman" w:cs="TimesNew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33.69</w:t>
            </w:r>
            <w:r>
              <w:rPr>
                <w:rFonts w:hint="default" w:ascii="TimesNewRoman" w:hAnsi="TimesNewRoman" w:cs="TimesNew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33.69</w:t>
            </w:r>
            <w:r>
              <w:rPr>
                <w:rFonts w:hint="default" w:ascii="TimesNewRoman" w:hAnsi="TimesNewRoman" w:cs="TimesNew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15.99</w:t>
            </w:r>
            <w:r>
              <w:rPr>
                <w:rFonts w:hint="default" w:ascii="TimesNewRoman" w:hAnsi="TimesNewRoman" w:cs="TimesNew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15.99</w:t>
            </w:r>
            <w:r>
              <w:rPr>
                <w:rFonts w:hint="default" w:ascii="TimesNewRoman" w:hAnsi="TimesNewRoman" w:cs="TimesNew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58.91</w:t>
            </w:r>
            <w:r>
              <w:rPr>
                <w:rFonts w:hint="default" w:ascii="TimesNewRoman" w:hAnsi="TimesNewRoman" w:cs="TimesNew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58.91</w:t>
            </w:r>
            <w:r>
              <w:rPr>
                <w:rFonts w:hint="default" w:ascii="TimesNewRoman" w:hAnsi="TimesNewRoman" w:cs="TimesNew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510"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46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510" w:type="pct"/>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46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9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510"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19.99</w:t>
            </w:r>
            <w:r>
              <w:rPr>
                <w:rFonts w:hint="default" w:ascii="TimesNewRoman" w:hAnsi="TimesNewRoman" w:cs="TimesNewRoman"/>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19.99</w:t>
            </w:r>
            <w:r>
              <w:rPr>
                <w:rFonts w:hint="default" w:ascii="TimesNewRoman" w:hAnsi="TimesNewRoman" w:cs="TimesNew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898.39</w:t>
            </w:r>
            <w:r>
              <w:rPr>
                <w:rFonts w:hint="default" w:ascii="TimesNewRoman" w:hAnsi="TimesNewRoman" w:cs="TimesNewRoman"/>
                <w:b/>
                <w:color w:val="000000"/>
                <w:sz w:val="20"/>
              </w:rPr>
              <w:t xml:space="preserve"> </w:t>
            </w:r>
          </w:p>
        </w:tc>
        <w:tc>
          <w:tcPr>
            <w:tcW w:w="467"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898.39</w:t>
            </w:r>
            <w:r>
              <w:rPr>
                <w:rFonts w:hint="default" w:ascii="TimesNewRoman" w:hAnsi="TimesNewRoman" w:cs="TimesNewRoman"/>
                <w:b/>
                <w:color w:val="000000"/>
                <w:sz w:val="20"/>
              </w:rPr>
              <w:t xml:space="preserve"> </w:t>
            </w:r>
          </w:p>
        </w:tc>
        <w:tc>
          <w:tcPr>
            <w:tcW w:w="40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898.39</w:t>
            </w:r>
            <w:r>
              <w:rPr>
                <w:rFonts w:hint="default" w:ascii="TimesNewRoman" w:hAnsi="TimesNewRoman" w:cs="TimesNewRoman"/>
                <w:b/>
                <w:color w:val="000000"/>
                <w:sz w:val="20"/>
              </w:rPr>
              <w:t xml:space="preserve"> </w:t>
            </w:r>
          </w:p>
        </w:tc>
        <w:tc>
          <w:tcPr>
            <w:tcW w:w="46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898.39</w:t>
            </w:r>
            <w:r>
              <w:rPr>
                <w:rFonts w:hint="default" w:ascii="TimesNewRoman" w:hAnsi="TimesNewRoman" w:cs="TimesNewRoman"/>
                <w:b/>
                <w:color w:val="000000"/>
                <w:sz w:val="20"/>
              </w:rPr>
              <w:t xml:space="preserve"> </w:t>
            </w:r>
          </w:p>
        </w:tc>
        <w:tc>
          <w:tcPr>
            <w:tcW w:w="40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319.24</w:t>
            </w:r>
            <w:r>
              <w:rPr>
                <w:rFonts w:hint="default" w:ascii="TimesNewRoman" w:hAnsi="TimesNewRoman" w:cs="TimesNewRoman"/>
                <w:color w:val="000000"/>
                <w:sz w:val="20"/>
              </w:rPr>
              <w:t xml:space="preserve"> </w:t>
            </w:r>
          </w:p>
        </w:tc>
        <w:tc>
          <w:tcPr>
            <w:tcW w:w="46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319.24</w:t>
            </w:r>
            <w:r>
              <w:rPr>
                <w:rFonts w:hint="default" w:ascii="TimesNewRoman" w:hAnsi="TimesNewRoman" w:cs="TimesNewRoman"/>
                <w:color w:val="000000"/>
                <w:sz w:val="20"/>
              </w:rPr>
              <w:t xml:space="preserve"> </w:t>
            </w:r>
          </w:p>
        </w:tc>
        <w:tc>
          <w:tcPr>
            <w:tcW w:w="40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公路运输管理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209.04</w:t>
            </w:r>
            <w:r>
              <w:rPr>
                <w:rFonts w:hint="default" w:ascii="TimesNewRoman" w:hAnsi="TimesNewRoman" w:cs="TimesNewRoman"/>
                <w:color w:val="000000"/>
                <w:sz w:val="20"/>
              </w:rPr>
              <w:t xml:space="preserve"> </w:t>
            </w:r>
          </w:p>
        </w:tc>
        <w:tc>
          <w:tcPr>
            <w:tcW w:w="46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209.04</w:t>
            </w:r>
            <w:r>
              <w:rPr>
                <w:rFonts w:hint="default" w:ascii="TimesNewRoman" w:hAnsi="TimesNewRoman" w:cs="TimesNewRoman"/>
                <w:color w:val="000000"/>
                <w:sz w:val="20"/>
              </w:rPr>
              <w:t xml:space="preserve"> </w:t>
            </w:r>
          </w:p>
        </w:tc>
        <w:tc>
          <w:tcPr>
            <w:tcW w:w="40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370.11</w:t>
            </w:r>
            <w:r>
              <w:rPr>
                <w:rFonts w:hint="default" w:ascii="TimesNewRoman" w:hAnsi="TimesNewRoman" w:cs="TimesNewRoman"/>
                <w:color w:val="000000"/>
                <w:sz w:val="20"/>
              </w:rPr>
              <w:t xml:space="preserve"> </w:t>
            </w:r>
          </w:p>
        </w:tc>
        <w:tc>
          <w:tcPr>
            <w:tcW w:w="46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370.11</w:t>
            </w:r>
            <w:r>
              <w:rPr>
                <w:rFonts w:hint="default" w:ascii="TimesNewRoman" w:hAnsi="TimesNewRoman" w:cs="TimesNewRoman"/>
                <w:color w:val="000000"/>
                <w:sz w:val="20"/>
              </w:rPr>
              <w:t xml:space="preserve"> </w:t>
            </w:r>
          </w:p>
        </w:tc>
        <w:tc>
          <w:tcPr>
            <w:tcW w:w="40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46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40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510"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467" w:type="pct"/>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40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510" w:type="pct"/>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27.04</w:t>
            </w:r>
            <w:r>
              <w:rPr>
                <w:rFonts w:hint="default" w:ascii="TimesNewRoman" w:hAnsi="TimesNewRoman" w:cs="TimesNewRoman"/>
                <w:color w:val="000000"/>
                <w:sz w:val="20"/>
              </w:rPr>
              <w:t xml:space="preserve"> </w:t>
            </w:r>
          </w:p>
        </w:tc>
        <w:tc>
          <w:tcPr>
            <w:tcW w:w="467" w:type="pct"/>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27.04</w:t>
            </w:r>
            <w:r>
              <w:rPr>
                <w:rFonts w:hint="default" w:ascii="TimesNewRoman" w:hAnsi="TimesNewRoman" w:cs="TimesNewRoman"/>
                <w:color w:val="000000"/>
                <w:sz w:val="20"/>
              </w:rPr>
              <w:t xml:space="preserve"> </w:t>
            </w:r>
          </w:p>
        </w:tc>
        <w:tc>
          <w:tcPr>
            <w:tcW w:w="40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ind w:left="600" w:hanging="600" w:hangingChars="300"/>
        <w:rPr>
          <w:rFonts w:hint="default" w:ascii="TimesNewRoman" w:hAnsi="TimesNewRoman" w:cs="TimesNewRoman"/>
          <w:sz w:val="20"/>
          <w:szCs w:val="20"/>
        </w:rPr>
      </w:pPr>
      <w:r>
        <w:rPr>
          <w:rFonts w:hint="default" w:ascii="TimesNewRoman" w:hAnsi="TimesNewRoman" w:cs="TimesNewRoman"/>
          <w:sz w:val="20"/>
          <w:szCs w:val="20"/>
        </w:rPr>
        <w:t>备注：1.本表反映单位本年度取得的各项收入情况。</w:t>
      </w:r>
      <w:r>
        <w:rPr>
          <w:rFonts w:hint="default" w:ascii="TimesNewRoman" w:hAnsi="TimesNewRoman" w:cs="TimesNewRoman"/>
          <w:sz w:val="20"/>
          <w:szCs w:val="20"/>
        </w:rPr>
        <w:br w:type="textWrapping"/>
      </w:r>
      <w:r>
        <w:rPr>
          <w:rFonts w:hint="default" w:ascii="TimesNewRoman" w:hAnsi="TimesNewRoman" w:cs="TimesNewRoman"/>
          <w:sz w:val="20"/>
          <w:szCs w:val="20"/>
        </w:rPr>
        <w:t>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0"/>
          <w:szCs w:val="20"/>
        </w:rPr>
      </w:pPr>
      <w:r>
        <w:rPr>
          <w:rFonts w:hint="default" w:ascii="TimesNewRoman" w:hAnsi="TimesNewRoman" w:cs="TimesNewRoman"/>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 xml:space="preserve">垫江县道路运输事务管理中心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1,055.77</w:t>
            </w:r>
            <w:r>
              <w:rPr>
                <w:rFonts w:hint="default" w:ascii="TimesNewRoman" w:hAnsi="TimesNewRoman" w:cs="TimesNew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475.91</w:t>
            </w:r>
            <w:r>
              <w:rPr>
                <w:rFonts w:hint="default" w:ascii="TimesNewRoman" w:hAnsi="TimesNewRoman" w:cs="TimesNew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579.86</w:t>
            </w:r>
            <w:r>
              <w:rPr>
                <w:rFonts w:hint="default" w:ascii="TimesNewRoman" w:hAnsi="TimesNewRoman" w:cs="TimesNew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33.69</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33.69</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15.99</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15.99</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58.91</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58.91</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19.99</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19.99</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899.10</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319.24</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579.86</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899.10</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319.24</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579.86</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319.24</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319.24</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公路运输管理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209.04</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209.04</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370.82</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370.82</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1175"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27.04</w:t>
            </w:r>
            <w:r>
              <w:rPr>
                <w:rFonts w:hint="default" w:ascii="TimesNewRoman" w:hAnsi="TimesNewRoman" w:cs="TimesNew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27.04</w:t>
            </w:r>
            <w:r>
              <w:rPr>
                <w:rFonts w:hint="default" w:ascii="TimesNewRoman" w:hAnsi="TimesNewRoman" w:cs="TimesNew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0"/>
          <w:szCs w:val="20"/>
        </w:rPr>
      </w:pPr>
      <w:r>
        <w:rPr>
          <w:rFonts w:hint="default" w:ascii="TimesNewRoman" w:hAnsi="TimesNewRoman" w:cs="TimesNewRoman"/>
          <w:sz w:val="20"/>
          <w:szCs w:val="20"/>
        </w:rPr>
        <w:t>备注：1.本表反映单位本年度各项支出情况。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p>
      <w:pPr>
        <w:rPr>
          <w:rFonts w:hint="default" w:ascii="TimesNewRoman" w:hAnsi="TimesNewRoman" w:cs="TimesNew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sz w:val="18"/>
                <w:szCs w:val="18"/>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垫江县道路运输事务管理中心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1,055.07</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108.60</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108.60</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19.99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19.99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898.39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898.39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27.04</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27.04</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1,055.07</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1,055.07</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1,055.07</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1,055.07</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1,055.07</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1,055.07</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bl>
    <w:p>
      <w:pPr>
        <w:spacing w:line="240" w:lineRule="exact"/>
        <w:rPr>
          <w:rFonts w:hint="default" w:ascii="TimesNewRoman" w:hAnsi="TimesNewRoman" w:cs="TimesNewRoman"/>
          <w:sz w:val="20"/>
          <w:szCs w:val="20"/>
        </w:rPr>
      </w:pPr>
      <w:r>
        <w:rPr>
          <w:rFonts w:hint="default" w:ascii="TimesNewRoman" w:hAnsi="TimesNewRoman" w:cs="TimesNewRoman"/>
          <w:sz w:val="20"/>
          <w:szCs w:val="20"/>
        </w:rPr>
        <w:t>备注：1.本表反映单位本年度一般公共预算财政拨款、政府性基金预算财政拨款及国有资本经营预算财政拨款的总收支和年末结转结余情况。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垫江县道路运输事务管理中心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1,055.07</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475.91</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579.15</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1.05</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1.05</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1.05</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108.60</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33.69</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33.69</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15.99</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15.99</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58.91</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58.91</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19.99</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19.99</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19.99</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898.39</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319.24</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579.15</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898.39</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319.24</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579.15</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319.24</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319.24</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公路运输管理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209.04</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209.04</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370.11</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370.11</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27.04</w:t>
            </w:r>
            <w:r>
              <w:rPr>
                <w:rFonts w:hint="default" w:ascii="TimesNewRoman" w:hAnsi="TimesNewRoman" w:cs="TimesNew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27.04</w:t>
            </w:r>
            <w:r>
              <w:rPr>
                <w:rFonts w:hint="default" w:ascii="TimesNewRoman" w:hAnsi="TimesNewRoman" w:cs="TimesNew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27.04</w:t>
            </w:r>
            <w:r>
              <w:rPr>
                <w:rFonts w:hint="default" w:ascii="TimesNewRoman" w:hAnsi="TimesNewRoman" w:cs="TimesNew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备注：1.本表反映单位本年度一般公共预算财政拨款支出情况。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sz w:val="18"/>
                <w:szCs w:val="18"/>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垫江县道路运输事务管理中心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NewRoman" w:hAnsi="TimesNewRoman" w:cs="TimesNew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351.29</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65.71</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79.09</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3.92</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52.15</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102.05</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3.80</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0.05</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33.69</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0.15</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15.99</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5.30</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19.99</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0.60</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27.04</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13.72</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3.17</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58.91</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1.39</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53.95</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9.39</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4.20</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12.62</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0.76</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6.77</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0.35</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11.87</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NewRoman" w:hAnsi="TimesNewRoman" w:cs="TimesNew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12.85</w:t>
            </w: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NewRoman" w:hAnsi="TimesNewRoman" w:cs="TimesNew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NewRoman" w:hAnsi="TimesNewRoman" w:cs="TimesNew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NewRoman" w:hAnsi="TimesNewRoman" w:cs="TimesNew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NewRoman" w:hAnsi="TimesNewRoman" w:cs="TimesNew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NewRoman" w:hAnsi="TimesNewRoman" w:cs="TimesNew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NewRoman" w:hAnsi="TimesNewRoman" w:cs="TimesNew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410.21</w:t>
            </w:r>
            <w:r>
              <w:rPr>
                <w:rFonts w:hint="default" w:ascii="TimesNewRoman" w:hAnsi="TimesNewRoman" w:cs="TimesNew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65.71</w:t>
            </w:r>
            <w:r>
              <w:rPr>
                <w:rFonts w:hint="default" w:ascii="TimesNewRoman" w:hAnsi="TimesNewRoman" w:cs="TimesNewRoman"/>
                <w:color w:val="000000"/>
                <w:sz w:val="18"/>
              </w:rPr>
              <w:t xml:space="preserve"> </w:t>
            </w:r>
          </w:p>
        </w:tc>
      </w:tr>
    </w:tbl>
    <w:p>
      <w:pPr>
        <w:spacing w:line="280" w:lineRule="exact"/>
        <w:rPr>
          <w:rFonts w:hint="default" w:ascii="TimesNewRoman" w:hAnsi="TimesNewRoman" w:cs="TimesNewRoman"/>
          <w:sz w:val="20"/>
          <w:szCs w:val="20"/>
        </w:rPr>
      </w:pPr>
      <w:r>
        <w:rPr>
          <w:rFonts w:hint="default" w:ascii="TimesNewRoman" w:hAnsi="TimesNewRoman" w:cs="TimesNewRoman"/>
          <w:sz w:val="20"/>
          <w:szCs w:val="20"/>
        </w:rPr>
        <w:t>备注：1.本表反映单位本年度一般公共预算财政拨款基本支出明细情况。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垫江县道路运输事务管理中心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备注：本表反映单位本年度政府性基金预算财政拨款收入支出及结转和结余情况。本单位无政府性基金收支，故本表无数据。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垫江县道路运输事务管理中心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 xml:space="preserve">0.00 </w:t>
            </w:r>
          </w:p>
        </w:tc>
      </w:tr>
    </w:tbl>
    <w:p>
      <w:pPr>
        <w:rPr>
          <w:rFonts w:hint="default" w:ascii="TimesNewRoman" w:hAnsi="TimesNewRoman" w:cs="TimesNewRoman"/>
          <w:sz w:val="21"/>
          <w:szCs w:val="21"/>
        </w:rPr>
      </w:pPr>
      <w:r>
        <w:rPr>
          <w:rFonts w:hint="default" w:ascii="TimesNewRoman" w:hAnsi="TimesNewRoman" w:cs="TimesNewRoman"/>
          <w:sz w:val="20"/>
          <w:szCs w:val="20"/>
        </w:rPr>
        <w:t>备注：本表反映单位本年度国有资本经营预算财政拨款支出情况。本单位无国有资本经营收支，故本表无数据。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kern w:val="2"/>
                <w:sz w:val="32"/>
                <w:szCs w:val="32"/>
              </w:rPr>
            </w:pPr>
            <w:r>
              <w:rPr>
                <w:rFonts w:hint="default" w:ascii="TimesNewRoman" w:hAnsi="TimesNewRoman" w:cs="TimesNew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NewRoman" w:hAnsi="TimesNewRoman" w:cs="TimesNew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kern w:val="2"/>
                <w:sz w:val="20"/>
                <w:szCs w:val="20"/>
              </w:rPr>
            </w:pPr>
            <w:r>
              <w:rPr>
                <w:rFonts w:hint="default" w:ascii="TimesNewRoman" w:hAnsi="TimesNewRoman" w:cs="TimesNew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r>
              <w:rPr>
                <w:rFonts w:hint="default" w:ascii="TimesNewRoman" w:hAnsi="TimesNewRoman" w:cs="TimesNewRoman"/>
                <w:kern w:val="2"/>
                <w:sz w:val="20"/>
                <w:szCs w:val="20"/>
              </w:rPr>
              <w:t>单位</w:t>
            </w:r>
            <w:r>
              <w:rPr>
                <w:rFonts w:hint="default" w:ascii="TimesNewRoman" w:hAnsi="TimesNewRoman" w:cs="TimesNewRoman"/>
                <w:color w:val="000000"/>
                <w:kern w:val="2"/>
                <w:sz w:val="20"/>
                <w:szCs w:val="20"/>
              </w:rPr>
              <w:t>：</w:t>
            </w:r>
            <w:r>
              <w:rPr>
                <w:rFonts w:hint="default" w:ascii="TimesNewRoman" w:hAnsi="TimesNewRoman" w:cs="TimesNewRoman"/>
                <w:color w:val="000000"/>
                <w:sz w:val="20"/>
              </w:rPr>
              <w:t>垫江县道路运输事务管理中心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kern w:val="2"/>
                <w:sz w:val="20"/>
                <w:szCs w:val="20"/>
              </w:rPr>
            </w:pPr>
            <w:r>
              <w:rPr>
                <w:rFonts w:hint="default" w:ascii="TimesNewRoman" w:hAnsi="TimesNewRoman" w:cs="TimesNewRoman"/>
                <w:color w:val="000000"/>
                <w:kern w:val="2"/>
                <w:sz w:val="20"/>
                <w:szCs w:val="20"/>
              </w:rPr>
              <w:t>单位：</w:t>
            </w:r>
            <w:r>
              <w:rPr>
                <w:rFonts w:hint="default" w:ascii="TimesNewRoman" w:hAnsi="TimesNewRoman" w:cs="TimesNew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65.71</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29.81</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29.81</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65.71</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28.42</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28.42</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24.48</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24.48</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3.94</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3.94</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1.39</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1.39</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1.39</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14</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27.46</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27.46</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140</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1.05</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sz w:val="16"/>
                <w:szCs w:val="16"/>
              </w:rPr>
            </w:pPr>
            <w:r>
              <w:rPr>
                <w:rFonts w:hint="default" w:ascii="TimesNewRoman" w:hAnsi="TimesNewRoman" w:cs="TimesNew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19.08</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sz w:val="16"/>
                <w:szCs w:val="16"/>
              </w:rPr>
            </w:pPr>
          </w:p>
        </w:tc>
      </w:tr>
    </w:tbl>
    <w:p>
      <w:pPr>
        <w:ind w:left="540" w:hanging="540" w:hangingChars="300"/>
        <w:rPr>
          <w:rFonts w:hint="default" w:ascii="TimesNewRoman" w:hAnsi="TimesNewRoman" w:cs="TimesNewRoman"/>
          <w:sz w:val="18"/>
          <w:szCs w:val="18"/>
        </w:rPr>
      </w:pPr>
      <w:r>
        <w:rPr>
          <w:rFonts w:hint="default" w:ascii="TimesNewRoman" w:hAnsi="TimesNewRoman" w:cs="TimesNew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ind w:left="540" w:leftChars="150" w:hanging="180" w:hangingChars="100"/>
        <w:rPr>
          <w:rFonts w:hint="default" w:ascii="TimesNewRoman" w:hAnsi="TimesNewRoman" w:cs="TimesNewRoman"/>
          <w:sz w:val="18"/>
          <w:szCs w:val="18"/>
        </w:rPr>
      </w:pPr>
      <w:r>
        <w:rPr>
          <w:rFonts w:hint="default" w:ascii="TimesNewRoman" w:hAnsi="TimesNewRoman" w:cs="TimesNewRoman"/>
          <w:sz w:val="18"/>
          <w:szCs w:val="18"/>
        </w:rPr>
        <w:t xml:space="preserve"> </w:t>
      </w:r>
      <w:r>
        <w:rPr>
          <w:rFonts w:hint="default" w:ascii="TimesNewRoman" w:hAnsi="TimesNewRoman" w:cs="TimesNewRoman"/>
          <w:sz w:val="18"/>
          <w:szCs w:val="18"/>
          <w:lang w:val="en-US" w:eastAsia="zh-CN"/>
        </w:rPr>
        <w:t xml:space="preserve"> </w:t>
      </w:r>
      <w:r>
        <w:rPr>
          <w:rFonts w:hint="default" w:ascii="TimesNewRoman" w:hAnsi="TimesNewRoman" w:cs="TimesNewRoman"/>
          <w:sz w:val="18"/>
          <w:szCs w:val="18"/>
        </w:rPr>
        <w:t>2.本套报表金额单位转换时可能存在尾数误差。</w:t>
      </w:r>
      <w:r>
        <w:rPr>
          <w:rFonts w:hint="default" w:ascii="TimesNewRoman" w:hAnsi="TimesNewRoman" w:cs="TimesNewRoman"/>
          <w:sz w:val="18"/>
          <w:szCs w:val="18"/>
        </w:rPr>
        <w:br w:type="textWrapping"/>
      </w:r>
      <w:r>
        <w:rPr>
          <w:rFonts w:hint="default" w:ascii="TimesNewRoman" w:hAnsi="TimesNewRoman" w:cs="TimesNewRoman"/>
          <w:sz w:val="18"/>
          <w:szCs w:val="18"/>
        </w:rPr>
        <w:br w:type="textWrapping"/>
      </w:r>
    </w:p>
    <w:sectPr>
      <w:pgSz w:w="16783" w:h="11850" w:orient="landscape"/>
      <w:pgMar w:top="0" w:right="454" w:bottom="0" w:left="1037" w:header="0" w:footer="283"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implified Arabic"/>
    <w:panose1 w:val="02020603050405020304"/>
    <w:charset w:val="00"/>
    <w:family w:val="auto"/>
    <w:pitch w:val="default"/>
    <w:sig w:usb0="00000000" w:usb1="00000000" w:usb2="00000029" w:usb3="00000000" w:csb0="6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implified Arabic">
    <w:panose1 w:val="020206030504050203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- 3 -</w:t>
                          </w:r>
                          <w:r>
                            <w:rPr>
                              <w:rFonts w:hint="default" w:ascii="TimesNewRoman" w:hAnsi="TimesNewRoman" w:cs="TimesNew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- 3 -</w:t>
                    </w:r>
                    <w:r>
                      <w:rPr>
                        <w:rFonts w:hint="default" w:ascii="TimesNewRoman" w:hAnsi="TimesNewRoman" w:cs="TimesNew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27 -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27 -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239C6"/>
    <w:rsid w:val="001D3BB7"/>
    <w:rsid w:val="002613BD"/>
    <w:rsid w:val="002B254B"/>
    <w:rsid w:val="0034050A"/>
    <w:rsid w:val="0044504F"/>
    <w:rsid w:val="00466C9B"/>
    <w:rsid w:val="00486CFC"/>
    <w:rsid w:val="00491DDD"/>
    <w:rsid w:val="00550ABE"/>
    <w:rsid w:val="00623A85"/>
    <w:rsid w:val="00762DD5"/>
    <w:rsid w:val="00770383"/>
    <w:rsid w:val="007819D4"/>
    <w:rsid w:val="007B419D"/>
    <w:rsid w:val="007B7C4B"/>
    <w:rsid w:val="007D3D39"/>
    <w:rsid w:val="00911F13"/>
    <w:rsid w:val="00926D2C"/>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B3149"/>
    <w:rsid w:val="00CF2ACF"/>
    <w:rsid w:val="00D020FF"/>
    <w:rsid w:val="00D03AAF"/>
    <w:rsid w:val="00DD0539"/>
    <w:rsid w:val="00E07662"/>
    <w:rsid w:val="00E368E9"/>
    <w:rsid w:val="00E502BE"/>
    <w:rsid w:val="00EE1E33"/>
    <w:rsid w:val="00F73F90"/>
    <w:rsid w:val="00FB4B3B"/>
    <w:rsid w:val="01474EBF"/>
    <w:rsid w:val="0179459B"/>
    <w:rsid w:val="01F3521E"/>
    <w:rsid w:val="03B87EA0"/>
    <w:rsid w:val="03E3214F"/>
    <w:rsid w:val="044C50BA"/>
    <w:rsid w:val="05BC6D49"/>
    <w:rsid w:val="06194FF1"/>
    <w:rsid w:val="06A2550B"/>
    <w:rsid w:val="06F80EE2"/>
    <w:rsid w:val="07001CCA"/>
    <w:rsid w:val="070718CD"/>
    <w:rsid w:val="075678DB"/>
    <w:rsid w:val="077B465F"/>
    <w:rsid w:val="079D7CC7"/>
    <w:rsid w:val="08051BCA"/>
    <w:rsid w:val="0809586B"/>
    <w:rsid w:val="086C12F4"/>
    <w:rsid w:val="08705944"/>
    <w:rsid w:val="08BA052C"/>
    <w:rsid w:val="08DB07BA"/>
    <w:rsid w:val="0969353F"/>
    <w:rsid w:val="098305D0"/>
    <w:rsid w:val="09B1218B"/>
    <w:rsid w:val="0A3317EA"/>
    <w:rsid w:val="0A5C4B69"/>
    <w:rsid w:val="0A86124A"/>
    <w:rsid w:val="0AB54CC0"/>
    <w:rsid w:val="0ADD001C"/>
    <w:rsid w:val="0B9335CE"/>
    <w:rsid w:val="0BF2311A"/>
    <w:rsid w:val="0C7927C4"/>
    <w:rsid w:val="0C9B098C"/>
    <w:rsid w:val="0D673E11"/>
    <w:rsid w:val="0DDA54E4"/>
    <w:rsid w:val="0E3A5F83"/>
    <w:rsid w:val="0E7F4196"/>
    <w:rsid w:val="0F3161EB"/>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D158F1"/>
    <w:rsid w:val="163A6CEE"/>
    <w:rsid w:val="173708E3"/>
    <w:rsid w:val="17C374FC"/>
    <w:rsid w:val="17DD4AE4"/>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E63658"/>
    <w:rsid w:val="21556F04"/>
    <w:rsid w:val="219E2701"/>
    <w:rsid w:val="22403BD3"/>
    <w:rsid w:val="22805F76"/>
    <w:rsid w:val="22AD3177"/>
    <w:rsid w:val="23360765"/>
    <w:rsid w:val="235417B6"/>
    <w:rsid w:val="24B92327"/>
    <w:rsid w:val="24C14514"/>
    <w:rsid w:val="252D4D73"/>
    <w:rsid w:val="2533755C"/>
    <w:rsid w:val="25791755"/>
    <w:rsid w:val="259D7C77"/>
    <w:rsid w:val="26396DF4"/>
    <w:rsid w:val="27167136"/>
    <w:rsid w:val="271B442C"/>
    <w:rsid w:val="27B23302"/>
    <w:rsid w:val="27B93107"/>
    <w:rsid w:val="29310A5F"/>
    <w:rsid w:val="29C37A35"/>
    <w:rsid w:val="2A076083"/>
    <w:rsid w:val="2A73162E"/>
    <w:rsid w:val="2B167953"/>
    <w:rsid w:val="2B200583"/>
    <w:rsid w:val="2B2729C0"/>
    <w:rsid w:val="2B8209DE"/>
    <w:rsid w:val="2B821C91"/>
    <w:rsid w:val="2BEC6833"/>
    <w:rsid w:val="2BF81A22"/>
    <w:rsid w:val="2C636760"/>
    <w:rsid w:val="2C6762A3"/>
    <w:rsid w:val="2FCA4B37"/>
    <w:rsid w:val="2FE029D7"/>
    <w:rsid w:val="2FF06E00"/>
    <w:rsid w:val="30586FEC"/>
    <w:rsid w:val="30AD2860"/>
    <w:rsid w:val="30BE67FD"/>
    <w:rsid w:val="315F0B22"/>
    <w:rsid w:val="31A15828"/>
    <w:rsid w:val="31D84415"/>
    <w:rsid w:val="32285F6F"/>
    <w:rsid w:val="32770556"/>
    <w:rsid w:val="328165D7"/>
    <w:rsid w:val="329C0913"/>
    <w:rsid w:val="32AA0460"/>
    <w:rsid w:val="3337290D"/>
    <w:rsid w:val="339E44C3"/>
    <w:rsid w:val="33B66B94"/>
    <w:rsid w:val="33E31118"/>
    <w:rsid w:val="33EF7674"/>
    <w:rsid w:val="342D7BC6"/>
    <w:rsid w:val="352930DB"/>
    <w:rsid w:val="35573069"/>
    <w:rsid w:val="355F6038"/>
    <w:rsid w:val="358538E3"/>
    <w:rsid w:val="358C217E"/>
    <w:rsid w:val="35FC45F5"/>
    <w:rsid w:val="36C9128A"/>
    <w:rsid w:val="375D355B"/>
    <w:rsid w:val="37841E99"/>
    <w:rsid w:val="37BF1123"/>
    <w:rsid w:val="37CB2A1B"/>
    <w:rsid w:val="383C3F15"/>
    <w:rsid w:val="38490883"/>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205605"/>
    <w:rsid w:val="3E42660A"/>
    <w:rsid w:val="3E7555B1"/>
    <w:rsid w:val="3E787ED9"/>
    <w:rsid w:val="3F032E93"/>
    <w:rsid w:val="3F0527E5"/>
    <w:rsid w:val="3F4C52C6"/>
    <w:rsid w:val="3F597D1A"/>
    <w:rsid w:val="3F694D83"/>
    <w:rsid w:val="3F885DCC"/>
    <w:rsid w:val="3FBB4ED1"/>
    <w:rsid w:val="3FCD675E"/>
    <w:rsid w:val="4004000C"/>
    <w:rsid w:val="40760DD1"/>
    <w:rsid w:val="40BD5482"/>
    <w:rsid w:val="411B6CE5"/>
    <w:rsid w:val="412070D7"/>
    <w:rsid w:val="41314E40"/>
    <w:rsid w:val="41E0734B"/>
    <w:rsid w:val="426C1EA8"/>
    <w:rsid w:val="42736402"/>
    <w:rsid w:val="42D12E7D"/>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ED0EA8"/>
    <w:rsid w:val="4EFD467F"/>
    <w:rsid w:val="4F0C6BA3"/>
    <w:rsid w:val="4F186D58"/>
    <w:rsid w:val="504B6EAA"/>
    <w:rsid w:val="50F06B6E"/>
    <w:rsid w:val="51D21804"/>
    <w:rsid w:val="52234D33"/>
    <w:rsid w:val="522F6E0C"/>
    <w:rsid w:val="52463BA1"/>
    <w:rsid w:val="52DA3F92"/>
    <w:rsid w:val="52F163D4"/>
    <w:rsid w:val="531A2DB4"/>
    <w:rsid w:val="53C0244D"/>
    <w:rsid w:val="53D22232"/>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D474E"/>
    <w:rsid w:val="5842572D"/>
    <w:rsid w:val="5A3B59D6"/>
    <w:rsid w:val="5AD134D8"/>
    <w:rsid w:val="5BF41F67"/>
    <w:rsid w:val="5C263CE4"/>
    <w:rsid w:val="5C5D2777"/>
    <w:rsid w:val="5CF66BF3"/>
    <w:rsid w:val="5D290C69"/>
    <w:rsid w:val="5D8C1026"/>
    <w:rsid w:val="5DA80C2C"/>
    <w:rsid w:val="5EA006BF"/>
    <w:rsid w:val="5F2D4A41"/>
    <w:rsid w:val="60C74F6C"/>
    <w:rsid w:val="61015958"/>
    <w:rsid w:val="61025A59"/>
    <w:rsid w:val="613D5BBC"/>
    <w:rsid w:val="61536C39"/>
    <w:rsid w:val="6160245B"/>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890148"/>
    <w:rsid w:val="68EB1B71"/>
    <w:rsid w:val="696C0310"/>
    <w:rsid w:val="6A6C7940"/>
    <w:rsid w:val="6A9F1565"/>
    <w:rsid w:val="6AAD2300"/>
    <w:rsid w:val="6B474EF5"/>
    <w:rsid w:val="6BC938E5"/>
    <w:rsid w:val="6BD23FAC"/>
    <w:rsid w:val="6C0A5AC5"/>
    <w:rsid w:val="6C560CAE"/>
    <w:rsid w:val="6C576495"/>
    <w:rsid w:val="6D903FF5"/>
    <w:rsid w:val="6DA955B8"/>
    <w:rsid w:val="6DE346AB"/>
    <w:rsid w:val="6DE5391A"/>
    <w:rsid w:val="6E2F7CD6"/>
    <w:rsid w:val="6EF78925"/>
    <w:rsid w:val="6EFD1324"/>
    <w:rsid w:val="6F5A53AC"/>
    <w:rsid w:val="6FAC003D"/>
    <w:rsid w:val="6FD926BF"/>
    <w:rsid w:val="6FE55E12"/>
    <w:rsid w:val="6FFB2E76"/>
    <w:rsid w:val="708F6F7F"/>
    <w:rsid w:val="70D94BD3"/>
    <w:rsid w:val="71574775"/>
    <w:rsid w:val="71C34D91"/>
    <w:rsid w:val="72DB435C"/>
    <w:rsid w:val="72E2613A"/>
    <w:rsid w:val="72F771F4"/>
    <w:rsid w:val="73880A63"/>
    <w:rsid w:val="73934AD2"/>
    <w:rsid w:val="750837F0"/>
    <w:rsid w:val="754758CF"/>
    <w:rsid w:val="75595ECD"/>
    <w:rsid w:val="76097BB8"/>
    <w:rsid w:val="764F62AB"/>
    <w:rsid w:val="765C45EC"/>
    <w:rsid w:val="768A7619"/>
    <w:rsid w:val="76BD23AB"/>
    <w:rsid w:val="76CE5185"/>
    <w:rsid w:val="76D15716"/>
    <w:rsid w:val="772E1EBA"/>
    <w:rsid w:val="779BEA4A"/>
    <w:rsid w:val="781926BC"/>
    <w:rsid w:val="796D60A4"/>
    <w:rsid w:val="79A031D5"/>
    <w:rsid w:val="79B47FDF"/>
    <w:rsid w:val="79E569A9"/>
    <w:rsid w:val="7A1525F7"/>
    <w:rsid w:val="7A73689A"/>
    <w:rsid w:val="7B420052"/>
    <w:rsid w:val="7BD06A28"/>
    <w:rsid w:val="7C3A7C0B"/>
    <w:rsid w:val="7C5248E4"/>
    <w:rsid w:val="7C566698"/>
    <w:rsid w:val="7C5866A3"/>
    <w:rsid w:val="7D7406BB"/>
    <w:rsid w:val="7DC32AF0"/>
    <w:rsid w:val="7DE94331"/>
    <w:rsid w:val="7E3646EF"/>
    <w:rsid w:val="7F446A19"/>
    <w:rsid w:val="7F7452B9"/>
    <w:rsid w:val="C79F8981"/>
    <w:rsid w:val="D9AFD72C"/>
    <w:rsid w:val="EDFBB8AC"/>
    <w:rsid w:val="FFEF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alloon Text"/>
    <w:basedOn w:val="1"/>
    <w:link w:val="15"/>
    <w:qFormat/>
    <w:uiPriority w:val="0"/>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3"/>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3887</Words>
  <Characters>4734</Characters>
  <Lines>105</Lines>
  <Paragraphs>29</Paragraphs>
  <TotalTime>28</TotalTime>
  <ScaleCrop>false</ScaleCrop>
  <LinksUpToDate>false</LinksUpToDate>
  <CharactersWithSpaces>4757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2025-09-18T01:35:03Z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y fmtid="{D5CDD505-2E9C-101B-9397-08002B2CF9AE}" pid="4" name="KSOTemplateDocerSaveRecord">
    <vt:lpwstr>eyJoZGlkIjoiMzU5ODY1OWM2MTRhYTY0OTg2NDAzYzk0YjJmZmY1YmMiLCJ1c2VySWQiOiIxNjcxMzg3NjgwIn0=</vt:lpwstr>
  </property>
</Properties>
</file>