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垫江县交通建设工程服务中心</w:t>
      </w:r>
    </w:p>
    <w:p>
      <w:pPr>
        <w:pStyle w:val="9"/>
        <w:keepNext w:val="0"/>
        <w:keepLines w:val="0"/>
        <w:pageBreakBefore w:val="0"/>
        <w:widowControl/>
        <w:kinsoku/>
        <w:wordWrap/>
        <w:overflowPunct/>
        <w:topLinePunct w:val="0"/>
        <w:autoSpaceDE/>
        <w:autoSpaceDN/>
        <w:bidi w:val="0"/>
        <w:adjustRightInd/>
        <w:snapToGrid/>
        <w:spacing w:before="0" w:beforeAutospacing="0" w:afterAutospacing="0" w:line="640" w:lineRule="exact"/>
        <w:jc w:val="center"/>
        <w:textAlignment w:val="auto"/>
        <w:rPr>
          <w:rStyle w:val="13"/>
          <w:rFonts w:hint="default" w:ascii="Times New Roman" w:hAnsi="Times New Roman" w:eastAsia="黑体" w:cs="Times New Roman"/>
          <w:sz w:val="32"/>
          <w:szCs w:val="32"/>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1.承担全县交通建设工程施工质量技术咨询。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2.承担全县交通建设工程质量的经验交流、技术培训。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3.承担公路、水路建设工程质量安全技术保障服务。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4.承担本地区公路、水路工程建设各方建立健全质量保证体系和质量责任制度，及</w:t>
      </w:r>
      <w:bookmarkStart w:id="0" w:name="_GoBack"/>
      <w:bookmarkEnd w:id="0"/>
      <w:r>
        <w:rPr>
          <w:rFonts w:hint="default" w:ascii="Times New Roman" w:hAnsi="Times New Roman" w:eastAsia="方正仿宋_GBK" w:cs="Times New Roman"/>
          <w:sz w:val="32"/>
          <w:szCs w:val="32"/>
        </w:rPr>
        <w:t>公路、水路工程从业单位资质资信、质量工作和工程实体质量等监督管理的事务工作。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5.承担交通建设公路、水路工程交工验收质量核验的事务工作。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6.承担本地区交通建设受监工程竣工质量鉴定的事务工作。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7.承担本地区公路工程监理、试验检测机构等监督管理的事务工作。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8.承担本地区交通建设工程质量、安全事故调查处理的事务工作。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1.机构设置。本单位内设3 个科室，分别是办公室、质量监督科、安全监督科。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2.财政供养人数。本单位2024年在职职工13人、退休职工6人。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二、单位决算收支情况说明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311.54万元，支出总计311.54万元。收、支与2023年度相比，减少5.27万元，下降1.66%，主要原因是2024年度项目资金收、支比2023年度项目收、支减少；另因在职变退休4人，基本支出收、支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298.99万元，与2023年度相比，减少10.12万元，下降3.27%，主要原因是2024年度项目收入比2023年度减少；另因在职变退休4人，收入减少。其中：财政拨款收入298.99万元，占100.00%；事业收入0.00万元，占0.00%；经营收入0.00万元，占0.00%；其他收入0.00万元，占0.00%。此外，使用非财政拨款结余和专用结余0.00万元，年初结转和结余12.55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310.43万元，与2023年度相比，减少5.27万元，下降1.67%，主要原因是2024年度项目支出比2023年度减少；另因在职变退休4人，支出减少。其中：基本支出298.59万元，占96.18%；项目支出11.84万元，占3.82%；经营支出0.00万元，占0.00%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4.结转结余情况。2024年度年末结转和结余1.11万元，与2023年度相比，无增减，主要原因是本年度未使用2023年年末结转结余经费，2024年度单位</w:t>
      </w:r>
      <w:r>
        <w:rPr>
          <w:rFonts w:hint="default" w:ascii="Times New Roman" w:hAnsi="Times New Roman" w:eastAsia="方正仿宋_GBK" w:cs="Times New Roman"/>
          <w:sz w:val="32"/>
          <w:szCs w:val="32"/>
          <w:lang w:eastAsia="zh-CN"/>
        </w:rPr>
        <w:t>无其他</w:t>
      </w:r>
      <w:r>
        <w:rPr>
          <w:rFonts w:hint="default" w:ascii="Times New Roman" w:hAnsi="Times New Roman" w:eastAsia="方正仿宋_GBK" w:cs="Times New Roman"/>
          <w:sz w:val="32"/>
          <w:szCs w:val="32"/>
        </w:rPr>
        <w:t>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2024年度财政拨款收、支总计310.43万元。与2023年相比，财政拨款收、支总计各减少4.51万元，下降1.43%。主要原因是2024年度项目资金收、支比2023年度项目资金收、支减少；另因在职变退休4人，收、支出减少。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298.99万元，与2023年度相比，减少10.12万元，下降3.27%。主要原因是2024年度项目收入比2023年度减少；另因在职变退休4人，收入减少。较年初预算数增加11.93万元，增长4.16%。主要原因是年中进行超额绩效清算，此外，年初财政拨款结转和结余11.44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310.43万元，与2023年度相比，减少4.51万元，下降1.43%。主要原因是2024年度项目支出比2023年度减少。较年初预算数增加23.37万元，增长8.14%。主要原因是年中进行超额绩效清算；补缴2022年至2023年职工基本养老保险及职业年金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3.结转结余情况。2024年度年末一般公共预算财政拨款结转和结余0.00万元，与2023年度相比，无增减，主要原因是本年度未使用2023年年末结转结余经费，2024年单位</w:t>
      </w:r>
      <w:r>
        <w:rPr>
          <w:rFonts w:hint="default" w:ascii="Times New Roman" w:hAnsi="Times New Roman" w:eastAsia="方正仿宋_GBK" w:cs="Times New Roman"/>
          <w:sz w:val="32"/>
          <w:szCs w:val="32"/>
          <w:lang w:eastAsia="zh-CN"/>
        </w:rPr>
        <w:t>无其他</w:t>
      </w:r>
      <w:r>
        <w:rPr>
          <w:rFonts w:hint="default" w:ascii="Times New Roman" w:hAnsi="Times New Roman" w:eastAsia="方正仿宋_GBK" w:cs="Times New Roman"/>
          <w:sz w:val="32"/>
          <w:szCs w:val="32"/>
        </w:rPr>
        <w:t>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（1）教育支出0.57万元，占0.18%，较年初预算数减少0.27万元，下降32.14%，主要原因是本年度教育培训减少，单位</w:t>
      </w:r>
      <w:r>
        <w:rPr>
          <w:rFonts w:hint="default" w:ascii="Times New Roman" w:hAnsi="Times New Roman" w:eastAsia="方正仿宋_GBK" w:cs="Times New Roman"/>
          <w:sz w:val="32"/>
          <w:szCs w:val="32"/>
          <w:lang w:eastAsia="zh-CN"/>
        </w:rPr>
        <w:t>厉行节约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（2）社会保障与就业支出61.28万元，占19.74%，较年初预算数增加23.89万元，增长63.89%，主要原因是本年度清算补缴2022年至2023年基本养老保险及职业年金费等。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（3）卫生健康支出9.12万元，占2.94%，较年初预算数减少1.69万元，下降15.63%，主要原因是基数调整。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（4）交通运输支出221.80万元，占71.45%，较年初预算数减少3.24万元，下降1.44%，主要原因是单位厉行节俭，又因2024年度单位项目支出减少。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（5）住房保障支出17.67万元，占5.69%，较年初预算数增加4.69万元，增长36.13%，主要原因是2024年度有新进公招人员1人；另因清算补缴1-11月住房公积金。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298.59万元。其中：人员经费276.19万元，与2023年度相比，增加11.44万元，增长4.32%，主要原因是2024年新增公招人员1人；清算补缴1-11月住房公积金；清算补缴2022年至2023年基本养老保险及职业年金费。人员经费用途主要包括.工资、津贴补贴、伙食补助费、社会保障缴费、绩效工资、机关事业单位基本养老保险费、职业年金费、职工医疗保险费、其他工资福利费、退休费、 住房公积金、其他对家庭和个人的补助支出。公用经费22.40万元，与2023年度相比，减少14.69万元，下降39.61%，主要原因是本年度单位厉行节俭，停止差旅费报销。公用经费用途主要包括办公费、印刷费、邮电费、差旅费、维护费、培训费、劳务费、工会经费、福利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本单位2024年度无政府性基金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2024年度国有资本经营预算财政拨</w:t>
      </w:r>
      <w:r>
        <w:rPr>
          <w:rFonts w:hint="default" w:ascii="Times New Roman" w:hAnsi="Times New Roman" w:eastAsia="方正仿宋_GBK" w:cs="Times New Roman"/>
          <w:sz w:val="32"/>
          <w:szCs w:val="32"/>
          <w:lang w:eastAsia="zh-CN"/>
        </w:rPr>
        <w:t>款</w:t>
      </w:r>
      <w:r>
        <w:rPr>
          <w:rFonts w:hint="default" w:ascii="Times New Roman" w:hAnsi="Times New Roman" w:eastAsia="方正仿宋_GBK" w:cs="Times New Roman"/>
          <w:sz w:val="32"/>
          <w:szCs w:val="32"/>
        </w:rPr>
        <w:t>本年支出0.00万元，基本支出0.00万元，项目支出0.00万元，主要是本单位 2024年度无国有资本经营预算财政拨款支出。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2024年度“三公”经费支出共计0.00万元，较年初预算数无增减，主要原因是我单位2024年未发生“三公”经费支出。较上年支出数无增减，主要原因是我单位本年及上年均未发生“三公”经费支出。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也未发生因公出国（境）费用，费用支出较年初预算数无增减，主要原因是年初预算数未安排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公务车运行维护费0.00万元，费用支出较年初预算数无增减，主要原因是年初预算数未安排且本年未发生公务车运行维护费用。较上年支出数无增减，主要原因是上年和本年均未发生公务车运行维护费用。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公务接待费0.00万元，费用支出较年初预算数无增减，主要原因是年初预算数未安排且本年未发生公务接待费用。较上年支出数无增减，主要原因是上年和本年均未发生公务接待费用。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上年和本年均未发生会议费支出。本年度培训费支出0.57万元，与2023年度相比，增加0.54万元，增长1800.00%，主要原因是本年度有新增公招工作人员，教育培训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截至2024年12月31日，本单位共有车辆0辆，其中，副部（省）级及以上领导用车0辆、主要负责人用车0辆、机要通信用车0辆、应急保障用车0辆、执法执勤用车0辆，特种专业技术用车0辆，离退休干部用车0辆。单价100万元（含）以上专用设备0台（套），主要原因是2024年我单位无国有资产占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主要原因是2024年度我单位未发生政府采购项目，无相关政府采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根据预算绩效管理要求，本单位对2个二级项目开展了绩效自评，涉及项目支出资金11.84万元</w:t>
      </w:r>
      <w:r>
        <w:rPr>
          <w:rFonts w:hint="default" w:ascii="Times New Roman" w:hAnsi="Times New Roman" w:eastAsia="方正仿宋_GBK" w:cs="Times New Roman"/>
          <w:sz w:val="32"/>
          <w:szCs w:val="32"/>
          <w:lang w:eastAsia="zh-CN"/>
        </w:rPr>
        <w:t>。</w:t>
      </w:r>
    </w:p>
    <w:tbl>
      <w:tblPr>
        <w:tblStyle w:val="10"/>
        <w:tblW w:w="8328" w:type="dxa"/>
        <w:jc w:val="center"/>
        <w:tblLayout w:type="autofit"/>
        <w:tblCellMar>
          <w:top w:w="0" w:type="dxa"/>
          <w:left w:w="0" w:type="dxa"/>
          <w:bottom w:w="0" w:type="dxa"/>
          <w:right w:w="0" w:type="dxa"/>
        </w:tblCellMar>
      </w:tblPr>
      <w:tblGrid>
        <w:gridCol w:w="1716"/>
        <w:gridCol w:w="921"/>
        <w:gridCol w:w="921"/>
        <w:gridCol w:w="816"/>
        <w:gridCol w:w="631"/>
        <w:gridCol w:w="721"/>
        <w:gridCol w:w="760"/>
        <w:gridCol w:w="533"/>
        <w:gridCol w:w="479"/>
        <w:gridCol w:w="703"/>
        <w:gridCol w:w="683"/>
      </w:tblGrid>
      <w:tr>
        <w:tblPrEx>
          <w:tblCellMar>
            <w:top w:w="0" w:type="dxa"/>
            <w:left w:w="0" w:type="dxa"/>
            <w:bottom w:w="0" w:type="dxa"/>
            <w:right w:w="0" w:type="dxa"/>
          </w:tblCellMar>
        </w:tblPrEx>
        <w:trPr>
          <w:trHeight w:val="805" w:hRule="atLeast"/>
          <w:jc w:val="center"/>
        </w:trPr>
        <w:tc>
          <w:tcPr>
            <w:tcW w:w="83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40"/>
                <w:szCs w:val="40"/>
                <w14:textFill>
                  <w14:solidFill>
                    <w14:schemeClr w14:val="tx1"/>
                  </w14:solidFill>
                </w14:textFill>
              </w:rPr>
            </w:pPr>
            <w:r>
              <w:rPr>
                <w:rFonts w:hint="default" w:ascii="Times New Roman" w:hAnsi="Times New Roman" w:eastAsia="方正小标宋_GBK" w:cs="Times New Roman"/>
                <w:b w:val="0"/>
                <w:bCs/>
                <w:color w:val="000000" w:themeColor="text1"/>
                <w:sz w:val="44"/>
                <w:szCs w:val="44"/>
                <w:lang w:bidi="ar"/>
                <w14:textFill>
                  <w14:solidFill>
                    <w14:schemeClr w14:val="tx1"/>
                  </w14:solidFill>
                </w14:textFill>
              </w:rPr>
              <w:t>2024年度二级项目绩效自评表</w:t>
            </w:r>
          </w:p>
        </w:tc>
      </w:tr>
      <w:tr>
        <w:tblPrEx>
          <w:tblCellMar>
            <w:top w:w="0" w:type="dxa"/>
            <w:left w:w="0" w:type="dxa"/>
            <w:bottom w:w="0" w:type="dxa"/>
            <w:right w:w="0" w:type="dxa"/>
          </w:tblCellMar>
        </w:tblPrEx>
        <w:trPr>
          <w:trHeight w:val="503"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状态：绩效审核已审</w:t>
            </w:r>
          </w:p>
        </w:tc>
      </w:tr>
      <w:tr>
        <w:tblPrEx>
          <w:tblCellMar>
            <w:top w:w="0" w:type="dxa"/>
            <w:left w:w="0" w:type="dxa"/>
            <w:bottom w:w="0" w:type="dxa"/>
            <w:right w:w="0"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both"/>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“十四五”交通建设项目前期工作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50023123T000002754198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2"/>
                <w:szCs w:val="22"/>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204-垫江县交通运输委员会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005-经建科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周</w:t>
            </w:r>
            <w:r>
              <w:rPr>
                <w:rFonts w:hint="default" w:ascii="Times New Roman" w:hAnsi="Times New Roman" w:cs="Times New Roman"/>
                <w:color w:val="000000" w:themeColor="text1"/>
                <w:sz w:val="22"/>
                <w:szCs w:val="22"/>
                <w:lang w:val="en-US" w:eastAsia="zh-CN" w:bidi="ar"/>
                <w14:textFill>
                  <w14:solidFill>
                    <w14:schemeClr w14:val="tx1"/>
                  </w14:solidFill>
                </w14:textFill>
              </w:rPr>
              <w:t>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联系电话：</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023-74638783</w:t>
            </w:r>
          </w:p>
        </w:tc>
      </w:tr>
      <w:tr>
        <w:tblPrEx>
          <w:tblCellMar>
            <w:top w:w="0" w:type="dxa"/>
            <w:left w:w="0" w:type="dxa"/>
            <w:bottom w:w="0" w:type="dxa"/>
            <w:right w:w="0" w:type="dxa"/>
          </w:tblCellMar>
        </w:tblPrEx>
        <w:trPr>
          <w:trHeight w:val="603"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28"/>
                <w:szCs w:val="28"/>
                <w14:textFill>
                  <w14:solidFill>
                    <w14:schemeClr w14:val="tx1"/>
                  </w14:solidFill>
                </w14:textFill>
              </w:rPr>
            </w:pPr>
            <w:r>
              <w:rPr>
                <w:rFonts w:hint="default" w:ascii="Times New Roman" w:hAnsi="Times New Roman" w:eastAsia="方正黑体_GBK" w:cs="Times New Roman"/>
                <w:b w:val="0"/>
                <w:bCs/>
                <w:color w:val="000000" w:themeColor="text1"/>
                <w:sz w:val="28"/>
                <w:szCs w:val="28"/>
                <w:lang w:bidi="ar"/>
                <w14:textFill>
                  <w14:solidFill>
                    <w14:schemeClr w14:val="tx1"/>
                  </w14:solidFill>
                </w14:textFill>
              </w:rPr>
              <w:t>资金情况</w:t>
            </w:r>
          </w:p>
        </w:tc>
      </w:tr>
      <w:tr>
        <w:tblPrEx>
          <w:tblCellMar>
            <w:top w:w="0" w:type="dxa"/>
            <w:left w:w="0" w:type="dxa"/>
            <w:bottom w:w="0" w:type="dxa"/>
            <w:right w:w="0" w:type="dxa"/>
          </w:tblCellMar>
        </w:tblPrEx>
        <w:trPr>
          <w:trHeight w:val="50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执行率得分</w:t>
            </w:r>
          </w:p>
        </w:tc>
      </w:tr>
      <w:tr>
        <w:tblPrEx>
          <w:tblCellMar>
            <w:top w:w="0" w:type="dxa"/>
            <w:left w:w="0" w:type="dxa"/>
            <w:bottom w:w="0" w:type="dxa"/>
            <w:right w:w="0" w:type="dxa"/>
          </w:tblCellMar>
        </w:tblPrEx>
        <w:trPr>
          <w:trHeight w:val="503" w:hRule="atLeast"/>
          <w:jc w:val="center"/>
        </w:trPr>
        <w:tc>
          <w:tcPr>
            <w:tcW w:w="15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94,434.30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94,434.30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3" w:hRule="atLeast"/>
          <w:jc w:val="center"/>
        </w:trPr>
        <w:tc>
          <w:tcPr>
            <w:tcW w:w="15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94,434.30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94,434.30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w:t>
            </w:r>
          </w:p>
        </w:tc>
      </w:tr>
      <w:tr>
        <w:tblPrEx>
          <w:tblCellMar>
            <w:top w:w="0" w:type="dxa"/>
            <w:left w:w="0" w:type="dxa"/>
            <w:bottom w:w="0" w:type="dxa"/>
            <w:right w:w="0" w:type="dxa"/>
          </w:tblCellMar>
        </w:tblPrEx>
        <w:trPr>
          <w:trHeight w:val="503" w:hRule="atLeast"/>
          <w:jc w:val="center"/>
        </w:trPr>
        <w:tc>
          <w:tcPr>
            <w:tcW w:w="15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94,434.30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94,434.30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603"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28"/>
                <w:szCs w:val="28"/>
                <w14:textFill>
                  <w14:solidFill>
                    <w14:schemeClr w14:val="tx1"/>
                  </w14:solidFill>
                </w14:textFill>
              </w:rPr>
            </w:pPr>
            <w:r>
              <w:rPr>
                <w:rFonts w:hint="default" w:ascii="Times New Roman" w:hAnsi="Times New Roman" w:eastAsia="方正黑体_GBK" w:cs="Times New Roman"/>
                <w:b w:val="0"/>
                <w:bCs/>
                <w:color w:val="000000" w:themeColor="text1"/>
                <w:sz w:val="28"/>
                <w:szCs w:val="28"/>
                <w:lang w:bidi="ar"/>
                <w14:textFill>
                  <w14:solidFill>
                    <w14:schemeClr w14:val="tx1"/>
                  </w14:solidFill>
                </w14:textFill>
              </w:rPr>
              <w:t>绩效目标</w:t>
            </w:r>
          </w:p>
        </w:tc>
      </w:tr>
      <w:tr>
        <w:tblPrEx>
          <w:tblCellMar>
            <w:top w:w="0" w:type="dxa"/>
            <w:left w:w="0" w:type="dxa"/>
            <w:bottom w:w="0" w:type="dxa"/>
            <w:right w:w="0" w:type="dxa"/>
          </w:tblCellMar>
        </w:tblPrEx>
        <w:trPr>
          <w:trHeight w:val="503"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全年目标实际完成情况</w:t>
            </w:r>
          </w:p>
        </w:tc>
      </w:tr>
      <w:tr>
        <w:tblPrEx>
          <w:tblCellMar>
            <w:top w:w="0" w:type="dxa"/>
            <w:left w:w="0" w:type="dxa"/>
            <w:bottom w:w="0" w:type="dxa"/>
            <w:right w:w="0" w:type="dxa"/>
          </w:tblCellMar>
        </w:tblPrEx>
        <w:trPr>
          <w:trHeight w:val="770" w:hRule="atLeast"/>
          <w:jc w:val="center"/>
        </w:trPr>
        <w:tc>
          <w:tcPr>
            <w:tcW w:w="40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“十四五”交通建设项目前期工作经费</w:t>
            </w: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“十四五”交通建设项目前期工作经费</w:t>
            </w:r>
          </w:p>
        </w:tc>
        <w:tc>
          <w:tcPr>
            <w:tcW w:w="18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已完成</w:t>
            </w:r>
          </w:p>
        </w:tc>
      </w:tr>
      <w:tr>
        <w:tblPrEx>
          <w:tblCellMar>
            <w:top w:w="0" w:type="dxa"/>
            <w:left w:w="0" w:type="dxa"/>
            <w:bottom w:w="0" w:type="dxa"/>
            <w:right w:w="0" w:type="dxa"/>
          </w:tblCellMar>
        </w:tblPrEx>
        <w:trPr>
          <w:trHeight w:val="603"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28"/>
                <w:szCs w:val="28"/>
                <w14:textFill>
                  <w14:solidFill>
                    <w14:schemeClr w14:val="tx1"/>
                  </w14:solidFill>
                </w14:textFill>
              </w:rPr>
            </w:pPr>
            <w:r>
              <w:rPr>
                <w:rFonts w:hint="default" w:ascii="Times New Roman" w:hAnsi="Times New Roman" w:eastAsia="方正黑体_GBK" w:cs="Times New Roman"/>
                <w:b w:val="0"/>
                <w:bCs/>
                <w:color w:val="000000" w:themeColor="text1"/>
                <w:sz w:val="28"/>
                <w:szCs w:val="28"/>
                <w:lang w:bidi="ar"/>
                <w14:textFill>
                  <w14:solidFill>
                    <w14:schemeClr w14:val="tx1"/>
                  </w14:solidFill>
                </w14:textFill>
              </w:rPr>
              <w:t>绩效指标</w:t>
            </w:r>
          </w:p>
        </w:tc>
      </w:tr>
      <w:tr>
        <w:tblPrEx>
          <w:tblCellMar>
            <w:top w:w="0" w:type="dxa"/>
            <w:left w:w="0" w:type="dxa"/>
            <w:bottom w:w="0" w:type="dxa"/>
            <w:right w:w="0"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说明</w:t>
            </w:r>
          </w:p>
        </w:tc>
      </w:tr>
      <w:tr>
        <w:tblPrEx>
          <w:tblCellMar>
            <w:top w:w="0" w:type="dxa"/>
            <w:left w:w="0" w:type="dxa"/>
            <w:bottom w:w="0" w:type="dxa"/>
            <w:right w:w="0" w:type="dxa"/>
          </w:tblCellMar>
        </w:tblPrEx>
        <w:trPr>
          <w:trHeight w:val="5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交通执法车辆日常运行维护次数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质量安全监督车辆日常运行维护次数</w:t>
            </w:r>
          </w:p>
        </w:tc>
      </w:tr>
      <w:tr>
        <w:tblPrEx>
          <w:tblCellMar>
            <w:top w:w="0" w:type="dxa"/>
            <w:left w:w="0" w:type="dxa"/>
            <w:bottom w:w="0" w:type="dxa"/>
            <w:right w:w="0" w:type="dxa"/>
          </w:tblCellMar>
        </w:tblPrEx>
        <w:trPr>
          <w:trHeight w:val="6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交通执法日常检查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质量安全监督日常检查</w:t>
            </w:r>
          </w:p>
        </w:tc>
      </w:tr>
      <w:tr>
        <w:tblPrEx>
          <w:tblCellMar>
            <w:top w:w="0" w:type="dxa"/>
            <w:left w:w="0" w:type="dxa"/>
            <w:bottom w:w="0" w:type="dxa"/>
            <w:right w:w="0" w:type="dxa"/>
          </w:tblCellMar>
        </w:tblPrEx>
        <w:trPr>
          <w:trHeight w:val="54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交通执法工作质量达标率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工作质量达标率</w:t>
            </w:r>
          </w:p>
        </w:tc>
      </w:tr>
      <w:tr>
        <w:tblPrEx>
          <w:tblCellMar>
            <w:top w:w="0" w:type="dxa"/>
            <w:left w:w="0" w:type="dxa"/>
            <w:bottom w:w="0" w:type="dxa"/>
            <w:right w:w="0"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交通执法工作经费发放及时率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质量安全监督工作经费发放及时率</w:t>
            </w:r>
          </w:p>
        </w:tc>
      </w:tr>
      <w:tr>
        <w:tblPrEx>
          <w:tblCellMar>
            <w:top w:w="0" w:type="dxa"/>
            <w:left w:w="0" w:type="dxa"/>
            <w:bottom w:w="0" w:type="dxa"/>
            <w:right w:w="0"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为单位履行职能职责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交通执法车辆日常运行维护费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质量安全监督车辆日常运行维护费</w:t>
            </w:r>
          </w:p>
        </w:tc>
      </w:tr>
      <w:tr>
        <w:tblPrEx>
          <w:tblCellMar>
            <w:top w:w="0" w:type="dxa"/>
            <w:left w:w="0" w:type="dxa"/>
            <w:bottom w:w="0" w:type="dxa"/>
            <w:right w:w="0" w:type="dxa"/>
          </w:tblCellMar>
        </w:tblPrEx>
        <w:trPr>
          <w:trHeight w:val="6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交通执法检查经费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质量安全监督检查经费</w:t>
            </w:r>
          </w:p>
        </w:tc>
      </w:tr>
    </w:tbl>
    <w:p>
      <w:pPr>
        <w:rPr>
          <w:rFonts w:hint="default" w:ascii="Times New Roman" w:hAnsi="Times New Roman" w:cs="Times New Roman"/>
          <w:lang w:eastAsia="zh-CN"/>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10"/>
        <w:tblpPr w:leftFromText="180" w:rightFromText="180" w:vertAnchor="text" w:horzAnchor="page" w:tblpX="1574" w:tblpY="333"/>
        <w:tblOverlap w:val="never"/>
        <w:tblW w:w="0" w:type="auto"/>
        <w:tblInd w:w="0" w:type="dxa"/>
        <w:tblLayout w:type="autofit"/>
        <w:tblCellMar>
          <w:top w:w="0" w:type="dxa"/>
          <w:left w:w="0" w:type="dxa"/>
          <w:bottom w:w="0" w:type="dxa"/>
          <w:right w:w="0" w:type="dxa"/>
        </w:tblCellMar>
      </w:tblPr>
      <w:tblGrid>
        <w:gridCol w:w="1709"/>
        <w:gridCol w:w="892"/>
        <w:gridCol w:w="712"/>
        <w:gridCol w:w="868"/>
        <w:gridCol w:w="672"/>
        <w:gridCol w:w="768"/>
        <w:gridCol w:w="809"/>
        <w:gridCol w:w="567"/>
        <w:gridCol w:w="509"/>
        <w:gridCol w:w="749"/>
        <w:gridCol w:w="629"/>
      </w:tblGrid>
      <w:tr>
        <w:tblPrEx>
          <w:tblCellMar>
            <w:top w:w="0" w:type="dxa"/>
            <w:left w:w="0" w:type="dxa"/>
            <w:bottom w:w="0" w:type="dxa"/>
            <w:right w:w="0"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40"/>
                <w:szCs w:val="40"/>
                <w14:textFill>
                  <w14:solidFill>
                    <w14:schemeClr w14:val="tx1"/>
                  </w14:solidFill>
                </w14:textFill>
              </w:rPr>
            </w:pPr>
            <w:r>
              <w:rPr>
                <w:rFonts w:hint="default" w:ascii="Times New Roman" w:hAnsi="Times New Roman" w:eastAsia="方正小标宋_GBK" w:cs="Times New Roman"/>
                <w:b w:val="0"/>
                <w:bCs/>
                <w:color w:val="000000" w:themeColor="text1"/>
                <w:sz w:val="44"/>
                <w:szCs w:val="44"/>
                <w:lang w:bidi="ar"/>
                <w14:textFill>
                  <w14:solidFill>
                    <w14:schemeClr w14:val="tx1"/>
                  </w14:solidFill>
                </w14:textFill>
              </w:rPr>
              <w:t>2024年度二级项目绩效自评表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状态：绩效审核已审</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购买服务人员经费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50023123T000003100740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204-垫江县交通运输委员会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005-经建科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周</w:t>
            </w:r>
            <w:r>
              <w:rPr>
                <w:rFonts w:hint="default" w:ascii="Times New Roman" w:hAnsi="Times New Roman" w:cs="Times New Roman"/>
                <w:color w:val="000000" w:themeColor="text1"/>
                <w:sz w:val="22"/>
                <w:szCs w:val="22"/>
                <w:lang w:eastAsia="zh-CN" w:bidi="ar"/>
                <w14:textFill>
                  <w14:solidFill>
                    <w14:schemeClr w14:val="tx1"/>
                  </w14:solidFill>
                </w14:textFill>
              </w:rPr>
              <w:t>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74638783</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28"/>
                <w:szCs w:val="28"/>
                <w14:textFill>
                  <w14:solidFill>
                    <w14:schemeClr w14:val="tx1"/>
                  </w14:solidFill>
                </w14:textFill>
              </w:rPr>
            </w:pPr>
            <w:r>
              <w:rPr>
                <w:rFonts w:hint="default" w:ascii="Times New Roman" w:hAnsi="Times New Roman" w:eastAsia="方正黑体_GBK" w:cs="Times New Roman"/>
                <w:b w:val="0"/>
                <w:bCs/>
                <w:color w:val="000000" w:themeColor="text1"/>
                <w:sz w:val="28"/>
                <w:szCs w:val="28"/>
                <w:lang w:bidi="ar"/>
                <w14:textFill>
                  <w14:solidFill>
                    <w14:schemeClr w14:val="tx1"/>
                  </w14:solidFill>
                </w14:textFill>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执行率得分</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10.00</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28"/>
                <w:szCs w:val="28"/>
                <w14:textFill>
                  <w14:solidFill>
                    <w14:schemeClr w14:val="tx1"/>
                  </w14:solidFill>
                </w14:textFill>
              </w:rPr>
            </w:pPr>
            <w:r>
              <w:rPr>
                <w:rFonts w:hint="default" w:ascii="Times New Roman" w:hAnsi="Times New Roman" w:eastAsia="方正黑体_GBK" w:cs="Times New Roman"/>
                <w:b w:val="0"/>
                <w:bCs/>
                <w:color w:val="000000" w:themeColor="text1"/>
                <w:sz w:val="28"/>
                <w:szCs w:val="28"/>
                <w:lang w:bidi="ar"/>
                <w14:textFill>
                  <w14:solidFill>
                    <w14:schemeClr w14:val="tx1"/>
                  </w14:solidFill>
                </w14:textFill>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全年目标实际完成情况</w:t>
            </w:r>
          </w:p>
        </w:tc>
      </w:tr>
      <w:tr>
        <w:tblPrEx>
          <w:tblCellMar>
            <w:top w:w="0" w:type="dxa"/>
            <w:left w:w="0" w:type="dxa"/>
            <w:bottom w:w="0" w:type="dxa"/>
            <w:right w:w="0" w:type="dxa"/>
          </w:tblCellMar>
        </w:tblPrEx>
        <w:trPr>
          <w:trHeight w:val="7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支付购买服务人员工资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ascii="Times New Roman" w:hAnsi="Times New Roman" w:cs="Times New Roman"/>
                <w:color w:val="000000" w:themeColor="text1"/>
                <w:sz w:val="22"/>
                <w:szCs w:val="22"/>
                <w14:textFill>
                  <w14:solidFill>
                    <w14:schemeClr w14:val="tx1"/>
                  </w14:solidFill>
                </w14:textFill>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完成支付购买服务人员工资</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themeColor="text1"/>
                <w:sz w:val="28"/>
                <w:szCs w:val="28"/>
                <w14:textFill>
                  <w14:solidFill>
                    <w14:schemeClr w14:val="tx1"/>
                  </w14:solidFill>
                </w14:textFill>
              </w:rPr>
            </w:pPr>
            <w:r>
              <w:rPr>
                <w:rFonts w:hint="default" w:ascii="Times New Roman" w:hAnsi="Times New Roman" w:eastAsia="方正黑体_GBK" w:cs="Times New Roman"/>
                <w:b w:val="0"/>
                <w:bCs/>
                <w:color w:val="000000" w:themeColor="text1"/>
                <w:sz w:val="28"/>
                <w:szCs w:val="28"/>
                <w:lang w:bidi="ar"/>
                <w14:textFill>
                  <w14:solidFill>
                    <w14:schemeClr w14:val="tx1"/>
                  </w14:solidFill>
                </w14:textFill>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购买服务人员工资发放人数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购买服务人员工作质量达标率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购买服务人员工资发放及时率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为单位履行职能职责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购买服务人员工资标准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themeColor="text1"/>
                <w:sz w:val="22"/>
                <w:szCs w:val="22"/>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组织开展绩效评价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财政绩效评价情况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六、专业名词解释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（四）其他收入：指单位取得的除“财政拨款收入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（五）使用非财政拨款结余：指单位在当年的“财政拨款收入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sectPr>
          <w:pgSz w:w="11915" w:h="16840"/>
          <w:pgMar w:top="1701" w:right="1474" w:bottom="1701" w:left="1587" w:header="851" w:footer="1474" w:gutter="0"/>
          <w:pgNumType w:fmt="numberInDash"/>
          <w:cols w:space="720" w:num="1"/>
          <w:docGrid w:type="lines" w:linePitch="326" w:charSpace="0"/>
        </w:sectPr>
      </w:pPr>
      <w:r>
        <w:rPr>
          <w:rFonts w:hint="default" w:ascii="Times New Roman" w:hAnsi="Times New Roman" w:eastAsia="方正仿宋_GBK" w:cs="Times New Roman"/>
          <w:sz w:val="32"/>
          <w:szCs w:val="32"/>
        </w:rPr>
        <w:t>本单位决算公开信息反馈和联系方式：023-7463878</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0"/>
                <w:szCs w:val="20"/>
                <w14:textFill>
                  <w14:solidFill>
                    <w14:schemeClr w14:val="tx1"/>
                  </w14:solidFill>
                </w14:textFill>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0"/>
                <w:szCs w:val="20"/>
                <w14:textFill>
                  <w14:solidFill>
                    <w14:schemeClr w14:val="tx1"/>
                  </w14:solidFill>
                </w14:textFill>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w:t>
            </w:r>
            <w:r>
              <w:rPr>
                <w:rFonts w:hint="default" w:ascii="Times New Roman" w:hAnsi="Times New Roman" w:cs="Times New Roman"/>
                <w:color w:val="000000" w:themeColor="text1"/>
                <w:sz w:val="20"/>
                <w:szCs w:val="20"/>
                <w14:textFill>
                  <w14:solidFill>
                    <w14:schemeClr w14:val="tx1"/>
                  </w14:solidFill>
                </w14:textFill>
              </w:rPr>
              <w:t>01</w:t>
            </w:r>
            <w:r>
              <w:rPr>
                <w:rFonts w:hint="default" w:ascii="Times New Roman" w:hAnsi="Times New Roman" w:cs="Times New Roman"/>
                <w:color w:val="000000" w:themeColor="text1"/>
                <w:sz w:val="20"/>
                <w:szCs w:val="20"/>
                <w14:textFill>
                  <w14:solidFill>
                    <w14:schemeClr w14:val="tx1"/>
                  </w14:solidFill>
                </w14:textFill>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w:t>
            </w:r>
            <w:r>
              <w:rPr>
                <w:rFonts w:hint="default" w:ascii="Times New Roman" w:hAnsi="Times New Roman" w:cs="Times New Roman"/>
                <w:color w:val="000000" w:themeColor="text1"/>
                <w:sz w:val="20"/>
                <w14:textFill>
                  <w14:solidFill>
                    <w14:schemeClr w14:val="tx1"/>
                  </w14:solidFill>
                </w14:textFill>
              </w:rPr>
              <w:t>垫江县交通建设工程服务中心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2"/>
                <w:szCs w:val="22"/>
                <w14:textFill>
                  <w14:solidFill>
                    <w14:schemeClr w14:val="tx1"/>
                  </w14:solidFill>
                </w14:textFill>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298.99</w:t>
            </w: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0.57</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61.28</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9.12</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221.80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17.67</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298.99</w:t>
            </w: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310.43</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12.55</w:t>
            </w: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1.11</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311.54</w:t>
            </w:r>
            <w:r>
              <w:rPr>
                <w:rFonts w:hint="default" w:ascii="Times New Roman" w:hAnsi="Times New Roman" w:cs="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311.54</w:t>
            </w:r>
            <w:r>
              <w:rPr>
                <w:rFonts w:hint="default" w:ascii="Times New Roman" w:hAnsi="Times New Roman" w:cs="Times New Roman"/>
                <w:color w:val="000000" w:themeColor="text1"/>
                <w:sz w:val="20"/>
                <w14:textFill>
                  <w14:solidFill>
                    <w14:schemeClr w14:val="tx1"/>
                  </w14:solidFill>
                </w14:textFill>
              </w:rPr>
              <w:t xml:space="preserve"> </w:t>
            </w:r>
          </w:p>
        </w:tc>
      </w:tr>
    </w:tbl>
    <w:p>
      <w:pPr>
        <w:rPr>
          <w:rFonts w:hint="default" w:ascii="Times New Roman" w:hAnsi="Times New Roman" w:cs="Times New Roman"/>
          <w:color w:val="000000" w:themeColor="text1"/>
          <w:sz w:val="21"/>
          <w:szCs w:val="21"/>
          <w14:textFill>
            <w14:solidFill>
              <w14:schemeClr w14:val="tx1"/>
            </w14:solidFill>
          </w14:textFill>
        </w:rPr>
      </w:pPr>
    </w:p>
    <w:p>
      <w:pPr>
        <w:spacing w:line="240" w:lineRule="exac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备注：1.本表反映单位本年度的总收支和年末结转结余情况。</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t xml:space="preserve">      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tbl>
      <w:tblPr>
        <w:tblStyle w:val="10"/>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w:t>
            </w:r>
            <w:r>
              <w:rPr>
                <w:rFonts w:hint="default" w:ascii="Times New Roman" w:hAnsi="Times New Roman" w:cs="Times New Roman"/>
                <w:color w:val="000000" w:themeColor="text1"/>
                <w:sz w:val="20"/>
                <w14:textFill>
                  <w14:solidFill>
                    <w14:schemeClr w14:val="tx1"/>
                  </w14:solidFill>
                </w14:textFill>
              </w:rPr>
              <w:t>垫江县交通建设工程服务中心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w:t>
            </w:r>
            <w:r>
              <w:rPr>
                <w:rFonts w:hint="default" w:ascii="Times New Roman" w:hAnsi="Times New Roman" w:cs="Times New Roman"/>
                <w:color w:val="000000" w:themeColor="text1"/>
                <w:sz w:val="20"/>
                <w:szCs w:val="20"/>
                <w14:textFill>
                  <w14:solidFill>
                    <w14:schemeClr w14:val="tx1"/>
                  </w14:solidFill>
                </w14:textFill>
              </w:rPr>
              <w:t>02</w:t>
            </w:r>
            <w:r>
              <w:rPr>
                <w:rFonts w:hint="default" w:ascii="Times New Roman" w:hAnsi="Times New Roman" w:cs="Times New Roman"/>
                <w:color w:val="000000" w:themeColor="text1"/>
                <w:sz w:val="20"/>
                <w:szCs w:val="20"/>
                <w14:textFill>
                  <w14:solidFill>
                    <w14:schemeClr w14:val="tx1"/>
                  </w14:solidFill>
                </w14:textFill>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298.99</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298.99</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0.57</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0.57</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33.07</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33.07</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16.61</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16.61</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11.60</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11.60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9.12</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9.12</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210.35</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210.35</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210.35</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210.35</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其他公路水路运输支出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210.35</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210.35</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17.67</w:t>
            </w:r>
            <w:r>
              <w:rPr>
                <w:rFonts w:hint="default" w:ascii="Times New Roman" w:hAnsi="Times New Roman" w:cs="Times New 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17.67</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bl>
    <w:p>
      <w:pPr>
        <w:ind w:left="600" w:hanging="600" w:hangingChars="30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备注：1.本表反映单位本年度取得的各项收入情况。</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t>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pPr>
        <w:rPr>
          <w:rFonts w:hint="default" w:ascii="Times New Roman" w:hAnsi="Times New Roman" w:cs="Times New Roman"/>
          <w:color w:val="000000" w:themeColor="text1"/>
          <w:sz w:val="20"/>
          <w:szCs w:val="20"/>
          <w14:textFill>
            <w14:solidFill>
              <w14:schemeClr w14:val="tx1"/>
            </w14:solidFill>
          </w14:textFill>
        </w:rPr>
      </w:pPr>
    </w:p>
    <w:tbl>
      <w:tblPr>
        <w:tblStyle w:val="10"/>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w:t>
            </w:r>
            <w:r>
              <w:rPr>
                <w:rFonts w:hint="default" w:ascii="Times New Roman" w:hAnsi="Times New Roman" w:cs="Times New Roman"/>
                <w:color w:val="000000" w:themeColor="text1"/>
                <w:sz w:val="20"/>
                <w14:textFill>
                  <w14:solidFill>
                    <w14:schemeClr w14:val="tx1"/>
                  </w14:solidFill>
                </w14:textFill>
              </w:rPr>
              <w:t xml:space="preserve">垫江县交通建设工程服务中心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w:t>
            </w:r>
            <w:r>
              <w:rPr>
                <w:rFonts w:hint="default" w:ascii="Times New Roman" w:hAnsi="Times New Roman" w:cs="Times New Roman"/>
                <w:color w:val="000000" w:themeColor="text1"/>
                <w:sz w:val="20"/>
                <w:szCs w:val="20"/>
                <w14:textFill>
                  <w14:solidFill>
                    <w14:schemeClr w14:val="tx1"/>
                  </w14:solidFill>
                </w14:textFill>
              </w:rPr>
              <w:t>03</w:t>
            </w:r>
            <w:r>
              <w:rPr>
                <w:rFonts w:hint="default" w:ascii="Times New Roman" w:hAnsi="Times New Roman" w:cs="Times New Roman"/>
                <w:color w:val="000000" w:themeColor="text1"/>
                <w:sz w:val="20"/>
                <w:szCs w:val="20"/>
                <w14:textFill>
                  <w14:solidFill>
                    <w14:schemeClr w14:val="tx1"/>
                  </w14:solidFill>
                </w14:textFill>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310.43</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298.59</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11.84</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0.57</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0.57</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0.57</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61.28</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33.07</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33.07</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16.61</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16.61</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11.60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11.60</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9.12</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9.12</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9.12</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221.80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209.95</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11.84</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221.80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209.95</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11.84</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其他公路水路运输支出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221.80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209.95</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11.84</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54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15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543"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17.67</w:t>
            </w:r>
            <w:r>
              <w:rPr>
                <w:rFonts w:hint="default" w:ascii="Times New Roman" w:hAnsi="Times New Roman" w:cs="Times New 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0.00</w:t>
            </w:r>
            <w:r>
              <w:rPr>
                <w:rFonts w:hint="default" w:ascii="Times New Roman" w:hAnsi="Times New Roman" w:cs="Times New 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543"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17.67</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17.67</w:t>
            </w:r>
            <w:r>
              <w:rPr>
                <w:rFonts w:hint="default" w:ascii="Times New Roman" w:hAnsi="Times New Roman" w:cs="Times New 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r>
              <w:rPr>
                <w:rFonts w:hint="default" w:ascii="Times New Roman" w:hAnsi="Times New Roman" w:cs="Times New Roman"/>
                <w:color w:val="000000" w:themeColor="text1"/>
                <w:sz w:val="20"/>
                <w14:textFill>
                  <w14:solidFill>
                    <w14:schemeClr w14:val="tx1"/>
                  </w14:solidFill>
                </w14:textFill>
              </w:rPr>
              <w:t xml:space="preserve"> </w:t>
            </w:r>
          </w:p>
        </w:tc>
      </w:tr>
    </w:tbl>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备注：1.本表反映单位本年度各项支出情况。</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t xml:space="preserve">      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p>
      <w:pPr>
        <w:rPr>
          <w:rFonts w:hint="default" w:ascii="Times New Roman" w:hAnsi="Times New Roman" w:cs="Times New Roman"/>
          <w:color w:val="000000" w:themeColor="text1"/>
          <w:sz w:val="21"/>
          <w:szCs w:val="21"/>
          <w14:textFill>
            <w14:solidFill>
              <w14:schemeClr w14:val="tx1"/>
            </w14:solidFill>
          </w14:textFill>
        </w:rPr>
      </w:pPr>
    </w:p>
    <w:tbl>
      <w:tblPr>
        <w:tblStyle w:val="10"/>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w:t>
            </w:r>
            <w:r>
              <w:rPr>
                <w:rFonts w:hint="default" w:ascii="Times New Roman" w:hAnsi="Times New Roman" w:cs="Times New Roman"/>
                <w:color w:val="000000" w:themeColor="text1"/>
                <w:sz w:val="20"/>
                <w14:textFill>
                  <w14:solidFill>
                    <w14:schemeClr w14:val="tx1"/>
                  </w14:solidFill>
                </w14:textFill>
              </w:rPr>
              <w:t>垫江县交通建设工程服务中心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w:t>
            </w:r>
            <w:r>
              <w:rPr>
                <w:rFonts w:hint="default" w:ascii="Times New Roman" w:hAnsi="Times New Roman" w:cs="Times New Roman"/>
                <w:color w:val="000000" w:themeColor="text1"/>
                <w:sz w:val="20"/>
                <w:szCs w:val="20"/>
                <w14:textFill>
                  <w14:solidFill>
                    <w14:schemeClr w14:val="tx1"/>
                  </w14:solidFill>
                </w14:textFill>
              </w:rPr>
              <w:t>04</w:t>
            </w:r>
            <w:r>
              <w:rPr>
                <w:rFonts w:hint="default" w:ascii="Times New Roman" w:hAnsi="Times New Roman" w:cs="Times New Roman"/>
                <w:color w:val="000000" w:themeColor="text1"/>
                <w:sz w:val="20"/>
                <w:szCs w:val="20"/>
                <w14:textFill>
                  <w14:solidFill>
                    <w14:schemeClr w14:val="tx1"/>
                  </w14:solidFill>
                </w14:textFill>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298.99</w:t>
            </w:r>
            <w:r>
              <w:rPr>
                <w:rFonts w:hint="default" w:ascii="Times New Roman" w:hAnsi="Times New Roman" w:cs="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0.57</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0.57</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61.28</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61.28</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9.12</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9.12</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221.80</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221.80</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17.67</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17.67</w:t>
            </w: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298.99</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11.44</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垫江县交通建设工程服务中心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310.43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298.59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11.84</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61.28</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61.28</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33.07</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33.07</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16.61</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221.80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209.95</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11.84</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221.80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209.95</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11.84</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221.80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209.95</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11.84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17.67</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17.67</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17.67</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垫江县交通建设工程服务中心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264.59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49.16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118.86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33.07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276.19</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22.40</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垫江县交通建设工程服务中心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垫江县交通建设工程服务中心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611" w:type="pct"/>
        <w:jc w:val="center"/>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垫江县交通建设工程服务中心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0.57</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ind w:left="1080" w:leftChars="225" w:hanging="540" w:hangingChars="300"/>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NewRoman" w:hAnsi="TimesNewRoman" w:cs="TimesNewRoman"/>
                              <w:sz w:val="28"/>
                              <w:szCs w:val="28"/>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default" w:ascii="TimesNewRoman" w:hAnsi="TimesNewRoman" w:cs="TimesNewRoman"/>
                        <w:sz w:val="28"/>
                        <w:szCs w:val="28"/>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- 1 -</w:t>
                    </w:r>
                    <w:r>
                      <w:rPr>
                        <w:rFonts w:hint="default" w:ascii="TimesNewRoman" w:hAnsi="TimesNewRoman" w:cs="TimesNew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- 17 -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- 17 -</w:t>
                    </w:r>
                    <w:r>
                      <w:rPr>
                        <w:rFonts w:hint="default" w:ascii="TimesNewRoman" w:hAnsi="TimesNewRoman" w:cs="TimesNewRoman"/>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12C2D"/>
    <w:rsid w:val="00466C9B"/>
    <w:rsid w:val="00550ABE"/>
    <w:rsid w:val="005D2FA5"/>
    <w:rsid w:val="00770383"/>
    <w:rsid w:val="007819D4"/>
    <w:rsid w:val="007B419D"/>
    <w:rsid w:val="007B7C4B"/>
    <w:rsid w:val="007D3D39"/>
    <w:rsid w:val="008C5620"/>
    <w:rsid w:val="00994AF7"/>
    <w:rsid w:val="009B67B8"/>
    <w:rsid w:val="009D2B67"/>
    <w:rsid w:val="00A566F9"/>
    <w:rsid w:val="00AF2751"/>
    <w:rsid w:val="00B03CCD"/>
    <w:rsid w:val="00BE2B89"/>
    <w:rsid w:val="00C10E9E"/>
    <w:rsid w:val="00C20C3E"/>
    <w:rsid w:val="00CF2ACF"/>
    <w:rsid w:val="00EE75D9"/>
    <w:rsid w:val="00F73F90"/>
    <w:rsid w:val="00FB4B3B"/>
    <w:rsid w:val="01474EBF"/>
    <w:rsid w:val="01F3521E"/>
    <w:rsid w:val="03B87EA0"/>
    <w:rsid w:val="03E3214F"/>
    <w:rsid w:val="044C50BA"/>
    <w:rsid w:val="053C5F3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3258"/>
    <w:rsid w:val="0DDA54E4"/>
    <w:rsid w:val="0E1F559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7B352E"/>
    <w:rsid w:val="15593186"/>
    <w:rsid w:val="163A6CEE"/>
    <w:rsid w:val="173708E3"/>
    <w:rsid w:val="17C374FC"/>
    <w:rsid w:val="182E4AB6"/>
    <w:rsid w:val="183706FF"/>
    <w:rsid w:val="189079DC"/>
    <w:rsid w:val="189B0D0B"/>
    <w:rsid w:val="18B43F7C"/>
    <w:rsid w:val="194A1770"/>
    <w:rsid w:val="19B906A4"/>
    <w:rsid w:val="1B6F15B6"/>
    <w:rsid w:val="1BAA2EDC"/>
    <w:rsid w:val="1BAE4109"/>
    <w:rsid w:val="1CA55E64"/>
    <w:rsid w:val="1D014A01"/>
    <w:rsid w:val="1D022362"/>
    <w:rsid w:val="1D1B04B0"/>
    <w:rsid w:val="1DA52501"/>
    <w:rsid w:val="1DBD6767"/>
    <w:rsid w:val="1DC52125"/>
    <w:rsid w:val="1DD26311"/>
    <w:rsid w:val="1E374ACB"/>
    <w:rsid w:val="1E4E3C9F"/>
    <w:rsid w:val="1ECF0A66"/>
    <w:rsid w:val="1EF67CA4"/>
    <w:rsid w:val="1F020D3A"/>
    <w:rsid w:val="1F2C5189"/>
    <w:rsid w:val="1F4B0B02"/>
    <w:rsid w:val="1FBB35CD"/>
    <w:rsid w:val="1FCD26AF"/>
    <w:rsid w:val="20642787"/>
    <w:rsid w:val="21556F04"/>
    <w:rsid w:val="222C658A"/>
    <w:rsid w:val="22403BD3"/>
    <w:rsid w:val="24B92327"/>
    <w:rsid w:val="24C14514"/>
    <w:rsid w:val="2533755C"/>
    <w:rsid w:val="25791755"/>
    <w:rsid w:val="26396DF4"/>
    <w:rsid w:val="27167136"/>
    <w:rsid w:val="271B442C"/>
    <w:rsid w:val="27B23302"/>
    <w:rsid w:val="29310A5F"/>
    <w:rsid w:val="29C37A35"/>
    <w:rsid w:val="2A076083"/>
    <w:rsid w:val="2A101C4F"/>
    <w:rsid w:val="2A73162E"/>
    <w:rsid w:val="2B167953"/>
    <w:rsid w:val="2B200583"/>
    <w:rsid w:val="2B8209DE"/>
    <w:rsid w:val="2B8D51EE"/>
    <w:rsid w:val="2C1139B4"/>
    <w:rsid w:val="2C636760"/>
    <w:rsid w:val="2C6762A3"/>
    <w:rsid w:val="2C7453A9"/>
    <w:rsid w:val="2D0A7F40"/>
    <w:rsid w:val="2FCA4B37"/>
    <w:rsid w:val="2FE029D7"/>
    <w:rsid w:val="2FF06E00"/>
    <w:rsid w:val="30586FEC"/>
    <w:rsid w:val="315F0B22"/>
    <w:rsid w:val="31D84415"/>
    <w:rsid w:val="32285F6F"/>
    <w:rsid w:val="32770556"/>
    <w:rsid w:val="329C0913"/>
    <w:rsid w:val="32AA0460"/>
    <w:rsid w:val="32B06C36"/>
    <w:rsid w:val="3337290D"/>
    <w:rsid w:val="33632BBB"/>
    <w:rsid w:val="33E31118"/>
    <w:rsid w:val="33EF7674"/>
    <w:rsid w:val="342D7BC6"/>
    <w:rsid w:val="34854EE4"/>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66373E"/>
    <w:rsid w:val="44C37687"/>
    <w:rsid w:val="45CB699A"/>
    <w:rsid w:val="45E2495B"/>
    <w:rsid w:val="465B470D"/>
    <w:rsid w:val="469D6AD4"/>
    <w:rsid w:val="46FEAC09"/>
    <w:rsid w:val="471E6C84"/>
    <w:rsid w:val="4748792B"/>
    <w:rsid w:val="475D719D"/>
    <w:rsid w:val="47674801"/>
    <w:rsid w:val="48225EF7"/>
    <w:rsid w:val="488F422B"/>
    <w:rsid w:val="48E31F0E"/>
    <w:rsid w:val="48E36915"/>
    <w:rsid w:val="48EB6572"/>
    <w:rsid w:val="495C4A24"/>
    <w:rsid w:val="497135DF"/>
    <w:rsid w:val="4A263DF2"/>
    <w:rsid w:val="4A6F6675"/>
    <w:rsid w:val="4AF77E08"/>
    <w:rsid w:val="4B135857"/>
    <w:rsid w:val="4B7951CB"/>
    <w:rsid w:val="4B7C315C"/>
    <w:rsid w:val="4C047377"/>
    <w:rsid w:val="4DAC4ACA"/>
    <w:rsid w:val="4DBD149E"/>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D6C46"/>
    <w:rsid w:val="552256E1"/>
    <w:rsid w:val="554E5773"/>
    <w:rsid w:val="5553505A"/>
    <w:rsid w:val="555829E0"/>
    <w:rsid w:val="555A3CBC"/>
    <w:rsid w:val="5582012B"/>
    <w:rsid w:val="558E4E05"/>
    <w:rsid w:val="55BE2E85"/>
    <w:rsid w:val="56530F5D"/>
    <w:rsid w:val="567700D3"/>
    <w:rsid w:val="56FF7E9E"/>
    <w:rsid w:val="578867FC"/>
    <w:rsid w:val="57E87F9C"/>
    <w:rsid w:val="5842572D"/>
    <w:rsid w:val="5A3B59D6"/>
    <w:rsid w:val="5AD134D8"/>
    <w:rsid w:val="5B9A01F8"/>
    <w:rsid w:val="5C263CE4"/>
    <w:rsid w:val="5C5860B8"/>
    <w:rsid w:val="5C5D2777"/>
    <w:rsid w:val="5CF66BF3"/>
    <w:rsid w:val="5D290C69"/>
    <w:rsid w:val="5F2D4A41"/>
    <w:rsid w:val="601C4656"/>
    <w:rsid w:val="60C74F6C"/>
    <w:rsid w:val="61025A59"/>
    <w:rsid w:val="613D5BBC"/>
    <w:rsid w:val="61536C39"/>
    <w:rsid w:val="62607655"/>
    <w:rsid w:val="626423F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255872"/>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013932"/>
    <w:rsid w:val="7A1525F7"/>
    <w:rsid w:val="7A75789F"/>
    <w:rsid w:val="7B420052"/>
    <w:rsid w:val="7BD06A28"/>
    <w:rsid w:val="7C3A7C0B"/>
    <w:rsid w:val="7C5248E4"/>
    <w:rsid w:val="7C566698"/>
    <w:rsid w:val="7C5866A3"/>
    <w:rsid w:val="7D7406BB"/>
    <w:rsid w:val="7DE94331"/>
    <w:rsid w:val="7F032B93"/>
    <w:rsid w:val="7F446A19"/>
    <w:rsid w:val="7F7452B9"/>
    <w:rsid w:val="7FFE2AAF"/>
    <w:rsid w:val="FDBE1FCD"/>
    <w:rsid w:val="FEFD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Indent"/>
    <w:basedOn w:val="1"/>
    <w:next w:val="1"/>
    <w:qFormat/>
    <w:uiPriority w:val="0"/>
    <w:pPr>
      <w:spacing w:line="425" w:lineRule="atLeast"/>
      <w:ind w:firstLine="420"/>
      <w:textAlignment w:val="baseline"/>
    </w:pPr>
    <w:rPr>
      <w:rFonts w:ascii="Calibri" w:hAnsi="Calibri"/>
      <w:color w:val="000000"/>
      <w:sz w:val="21"/>
      <w:szCs w:val="21"/>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3335</Words>
  <Characters>3927</Characters>
  <Lines>112</Lines>
  <Paragraphs>31</Paragraphs>
  <TotalTime>5</TotalTime>
  <ScaleCrop>false</ScaleCrop>
  <LinksUpToDate>false</LinksUpToDate>
  <CharactersWithSpaces>3946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2025-09-18T01:44:33Z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eyJoZGlkIjoiMzU5ODY1OWM2MTRhYTY0OTg2NDAzYzk0YjJmZmY1YmMiLCJ1c2VySWQiOiIxNjcxMzg3NjgwIn0=</vt:lpwstr>
  </property>
</Properties>
</file>