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szCs w:val="32"/>
        </w:rPr>
      </w:pPr>
    </w:p>
    <w:p>
      <w:pPr>
        <w:spacing w:line="60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一、单位基本情况</w:t>
      </w:r>
    </w:p>
    <w:p>
      <w:pPr>
        <w:spacing w:line="600" w:lineRule="exact"/>
        <w:ind w:firstLine="643" w:firstLineChars="200"/>
        <w:rPr>
          <w:rFonts w:hint="default" w:ascii="Times New Roman" w:hAnsi="Times New Roman" w:eastAsia="方正楷体_GBK"/>
          <w:b/>
          <w:sz w:val="32"/>
          <w:szCs w:val="32"/>
        </w:rPr>
      </w:pPr>
      <w:r>
        <w:rPr>
          <w:rFonts w:ascii="Times New Roman" w:hAnsi="方正楷体_GBK" w:eastAsia="方正楷体_GBK"/>
          <w:b/>
          <w:sz w:val="32"/>
          <w:szCs w:val="32"/>
        </w:rPr>
        <w:t>（一）职能职责</w:t>
      </w:r>
    </w:p>
    <w:p>
      <w:pPr>
        <w:spacing w:line="600" w:lineRule="exact"/>
        <w:ind w:firstLine="640" w:firstLineChars="200"/>
        <w:rPr>
          <w:rFonts w:hint="default" w:ascii="Times New Roman" w:hAnsi="Times New Roman" w:eastAsia="方正仿宋_GBK"/>
          <w:sz w:val="32"/>
          <w:szCs w:val="32"/>
        </w:rPr>
      </w:pPr>
      <w:r>
        <w:rPr>
          <w:rFonts w:eastAsia="方正仿宋_GBK"/>
          <w:sz w:val="32"/>
          <w:szCs w:val="32"/>
        </w:rPr>
        <w:t>实施高中和初中基础教育；实施高中阶段教育；适龄青少年义务教育；全面推进素质教育；负责学校卫生、安全、稳定；学校经费与校产管理；师资队伍建设；指定本区域教育发展规划</w:t>
      </w:r>
      <w:r>
        <w:rPr>
          <w:rFonts w:ascii="Times New Roman" w:hAnsi="Times New Roman" w:eastAsia="方正仿宋_GBK"/>
          <w:sz w:val="32"/>
          <w:szCs w:val="32"/>
        </w:rPr>
        <w:t>。</w:t>
      </w:r>
    </w:p>
    <w:p>
      <w:pPr>
        <w:spacing w:line="600" w:lineRule="exact"/>
        <w:ind w:firstLine="643" w:firstLineChars="200"/>
        <w:rPr>
          <w:rFonts w:hint="default" w:ascii="Times New Roman" w:hAnsi="Times New Roman" w:eastAsia="方正仿宋_GBK"/>
          <w:sz w:val="32"/>
          <w:szCs w:val="32"/>
        </w:rPr>
      </w:pPr>
      <w:r>
        <w:rPr>
          <w:rFonts w:ascii="方正楷体_GBK"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hint="default" w:ascii="方正楷体_GBK" w:eastAsia="方正楷体_GBK"/>
          <w:b/>
          <w:sz w:val="32"/>
          <w:szCs w:val="32"/>
        </w:rPr>
      </w:pPr>
      <w:r>
        <w:rPr>
          <w:rFonts w:eastAsia="方正仿宋_GBK"/>
          <w:sz w:val="32"/>
          <w:szCs w:val="32"/>
        </w:rPr>
        <w:t>本单位内设办公室、教务处、后勤处、教科处、德育处</w:t>
      </w:r>
      <w:r>
        <w:rPr>
          <w:rFonts w:ascii="方正仿宋_GBK" w:eastAsia="方正仿宋_GBK"/>
          <w:sz w:val="32"/>
          <w:szCs w:val="32"/>
        </w:rPr>
        <w:t>。</w:t>
      </w:r>
    </w:p>
    <w:p>
      <w:pPr>
        <w:spacing w:line="60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2024年度收入总计14547.07万元，支出总计</w:t>
      </w:r>
      <w:r>
        <w:rPr>
          <w:rFonts w:ascii="方正仿宋_GBK" w:hAnsi="方正仿宋_GBK" w:eastAsia="方正仿宋_GBK" w:cs="方正仿宋_GBK"/>
          <w:sz w:val="32"/>
          <w:szCs w:val="32"/>
        </w:rPr>
        <w:t>14547.07</w:t>
      </w:r>
      <w:r>
        <w:rPr>
          <w:rFonts w:ascii="方正仿宋_GBK" w:hAnsi="方正仿宋_GBK" w:eastAsia="方正仿宋_GBK" w:cs="方正仿宋_GBK"/>
          <w:sz w:val="32"/>
          <w:szCs w:val="32"/>
          <w:shd w:val="clear" w:color="auto" w:fill="FFFFFF"/>
        </w:rPr>
        <w:t>万元。收、支与2023年度相比，增加188.34万元，增长1.31%，主要原因是三合湖校区设施设备采购投入增加。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2024年度收入合计14391.94万元，与2023年度相比，增加143.94万元，增长1.01%，主要原因是三合湖校区设施设备采购投入增加。其中：财政拨款收入</w:t>
      </w:r>
      <w:r>
        <w:rPr>
          <w:rFonts w:ascii="方正仿宋_GBK" w:hAnsi="方正仿宋_GBK" w:eastAsia="方正仿宋_GBK" w:cs="方正仿宋_GBK"/>
          <w:sz w:val="32"/>
          <w:szCs w:val="32"/>
        </w:rPr>
        <w:t>12599.07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87.54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570.65</w:t>
      </w:r>
      <w:r>
        <w:rPr>
          <w:rFonts w:ascii="方正仿宋_GBK" w:hAnsi="方正仿宋_GBK" w:eastAsia="方正仿宋_GBK" w:cs="方正仿宋_GBK"/>
          <w:sz w:val="32"/>
          <w:szCs w:val="32"/>
          <w:shd w:val="clear" w:color="auto" w:fill="FFFFFF"/>
        </w:rPr>
        <w:t>万元，占3.97%；经营收入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1222.22</w:t>
      </w:r>
      <w:r>
        <w:rPr>
          <w:rFonts w:ascii="方正仿宋_GBK" w:hAnsi="方正仿宋_GBK" w:eastAsia="方正仿宋_GBK" w:cs="方正仿宋_GBK"/>
          <w:sz w:val="32"/>
          <w:szCs w:val="32"/>
          <w:shd w:val="clear" w:color="auto" w:fill="FFFFFF"/>
        </w:rPr>
        <w:t>万元，占8.49%。此外，使用非财政拨款结余和专用结余</w:t>
      </w:r>
      <w:r>
        <w:rPr>
          <w:rFonts w:ascii="方正仿宋_GBK" w:hAnsi="方正仿宋_GBK" w:eastAsia="方正仿宋_GBK" w:cs="方正仿宋_GBK"/>
          <w:sz w:val="32"/>
          <w:szCs w:val="32"/>
        </w:rPr>
        <w:t>155.13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14505.25</w:t>
      </w:r>
      <w:r>
        <w:rPr>
          <w:rFonts w:ascii="方正仿宋_GBK" w:hAnsi="方正仿宋_GBK" w:eastAsia="方正仿宋_GBK" w:cs="方正仿宋_GBK"/>
          <w:sz w:val="32"/>
          <w:szCs w:val="32"/>
          <w:shd w:val="clear" w:color="auto" w:fill="FFFFFF"/>
        </w:rPr>
        <w:t>万元，与2023年度相比，增加288.69万元，增长2.03%，主要原因是三合湖校区设施设备采购投入增加。其中：基本支出</w:t>
      </w:r>
      <w:r>
        <w:rPr>
          <w:rFonts w:ascii="方正仿宋_GBK" w:hAnsi="方正仿宋_GBK" w:eastAsia="方正仿宋_GBK" w:cs="方正仿宋_GBK"/>
          <w:sz w:val="32"/>
          <w:szCs w:val="32"/>
        </w:rPr>
        <w:t>12420.21</w:t>
      </w:r>
      <w:r>
        <w:rPr>
          <w:rFonts w:ascii="方正仿宋_GBK" w:hAnsi="方正仿宋_GBK" w:eastAsia="方正仿宋_GBK" w:cs="方正仿宋_GBK"/>
          <w:sz w:val="32"/>
          <w:szCs w:val="32"/>
          <w:shd w:val="clear" w:color="auto" w:fill="FFFFFF"/>
        </w:rPr>
        <w:t>万元，占85.63%；项目支出</w:t>
      </w:r>
      <w:r>
        <w:rPr>
          <w:rFonts w:ascii="方正仿宋_GBK" w:hAnsi="方正仿宋_GBK" w:eastAsia="方正仿宋_GBK" w:cs="方正仿宋_GBK"/>
          <w:sz w:val="32"/>
          <w:szCs w:val="32"/>
        </w:rPr>
        <w:t>2085.04</w:t>
      </w:r>
      <w:r>
        <w:rPr>
          <w:rFonts w:ascii="方正仿宋_GBK" w:hAnsi="方正仿宋_GBK" w:eastAsia="方正仿宋_GBK" w:cs="方正仿宋_GBK"/>
          <w:sz w:val="32"/>
          <w:szCs w:val="32"/>
          <w:shd w:val="clear" w:color="auto" w:fill="FFFFFF"/>
        </w:rPr>
        <w:t>万元，占14.37%；经营支出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41.82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结转结余。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2024年度财政拨款收、支总计12599.07万元。与2023年相比，财政拨款收、支总计各增加121.20万元，增长0.97%。主要原因是三合湖校区设施设备采购投入增加。</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12599.07</w:t>
      </w:r>
      <w:r>
        <w:rPr>
          <w:rFonts w:ascii="方正仿宋_GBK" w:hAnsi="方正仿宋_GBK" w:eastAsia="方正仿宋_GBK" w:cs="方正仿宋_GBK"/>
          <w:sz w:val="32"/>
          <w:szCs w:val="32"/>
          <w:shd w:val="clear" w:color="auto" w:fill="FFFFFF"/>
        </w:rPr>
        <w:t>万元，与2023年度相比，增加121.20万元，增长0.97%。主要原因是三合湖校区设施设备采购投入增加。较年初预算数增加2704.52万元，增长27.33%。主要原因是新校区追加预算采购设施设备。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12599.07</w:t>
      </w:r>
      <w:r>
        <w:rPr>
          <w:rFonts w:ascii="方正仿宋_GBK" w:hAnsi="方正仿宋_GBK" w:eastAsia="方正仿宋_GBK" w:cs="方正仿宋_GBK"/>
          <w:sz w:val="32"/>
          <w:szCs w:val="32"/>
          <w:shd w:val="clear" w:color="auto" w:fill="FFFFFF"/>
        </w:rPr>
        <w:t>万元，与2023年度相比，增加121.20万元，增长0.97%。主要原因是三合湖校区设施设备采购投入增加。较年初预算数增加2704.52万元，增长27.33%。主要原因是新校区追加预算采购设施设备。</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9608.90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76.27</w:t>
      </w:r>
      <w:r>
        <w:rPr>
          <w:rFonts w:ascii="方正仿宋_GBK" w:hAnsi="方正仿宋_GBK" w:eastAsia="方正仿宋_GBK" w:cs="方正仿宋_GBK"/>
          <w:sz w:val="32"/>
          <w:szCs w:val="32"/>
          <w:shd w:val="clear" w:color="auto" w:fill="FFFFFF"/>
        </w:rPr>
        <w:t>%，较年初预算数增加1920.55万元，增长24.98%，主要原因是本年预算执行中追加新校区设施设备采购预算。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2071.74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16.44</w:t>
      </w:r>
      <w:r>
        <w:rPr>
          <w:rFonts w:ascii="方正仿宋_GBK" w:hAnsi="方正仿宋_GBK" w:eastAsia="方正仿宋_GBK" w:cs="方正仿宋_GBK"/>
          <w:sz w:val="32"/>
          <w:szCs w:val="32"/>
          <w:shd w:val="clear" w:color="auto" w:fill="FFFFFF"/>
        </w:rPr>
        <w:t>%，较年初预算数增加744.72万元，增长56.12%，主要原因是本年预算执行中将超额绩效纳入养老保险和职业年金基数增加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420.12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w:t>
      </w:r>
      <w:r>
        <w:rPr>
          <w:rFonts w:ascii="方正仿宋_GBK" w:hAnsi="方正仿宋_GBK" w:eastAsia="方正仿宋_GBK" w:cs="方正仿宋_GBK"/>
          <w:sz w:val="32"/>
          <w:szCs w:val="32"/>
          <w:shd w:val="clear" w:color="auto" w:fill="FFFFFF"/>
        </w:rPr>
        <w:t>%，较年初预算数增加20.49万元，增长5.13%，主要原因是12年制小学部规模逐渐扩大，教师人数增多，医疗保险缴费增加。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住房保障支出498.31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3.96</w:t>
      </w:r>
      <w:r>
        <w:rPr>
          <w:rFonts w:ascii="方正仿宋_GBK" w:hAnsi="方正仿宋_GBK" w:eastAsia="方正仿宋_GBK" w:cs="方正仿宋_GBK"/>
          <w:sz w:val="32"/>
          <w:szCs w:val="32"/>
          <w:shd w:val="clear" w:color="auto" w:fill="FFFFFF"/>
        </w:rPr>
        <w:t>%，较年初预算数增加18.76万元，增长3.91%，主要原因是12年制小学部规模逐渐扩大，教师人数增多，住房公积金缴费增加。</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10514.03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10342.64</w:t>
      </w:r>
      <w:r>
        <w:rPr>
          <w:rFonts w:ascii="方正仿宋_GBK" w:hAnsi="方正仿宋_GBK" w:eastAsia="方正仿宋_GBK" w:cs="方正仿宋_GBK"/>
          <w:sz w:val="32"/>
          <w:szCs w:val="32"/>
          <w:shd w:val="clear" w:color="auto" w:fill="FFFFFF"/>
        </w:rPr>
        <w:t>万元，与2023年度相比，增加12.46万元，增长0.12%，主要原因是教职工正常晋升、岗位职级变化和教师人数增加。人员经费用途主要包括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171.39</w:t>
      </w:r>
      <w:r>
        <w:rPr>
          <w:rFonts w:ascii="方正仿宋_GBK" w:hAnsi="方正仿宋_GBK" w:eastAsia="方正仿宋_GBK" w:cs="方正仿宋_GBK"/>
          <w:sz w:val="32"/>
          <w:szCs w:val="32"/>
          <w:shd w:val="clear" w:color="auto" w:fill="FFFFFF"/>
        </w:rPr>
        <w:t>万元，与2023年度相比，增加14.84万元，增长9.48%，主要原因是工会经费、培训费、福利费的预算基数减少。公用经费用途主要包括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万元，较年初预算数减少1.50万元，下降25.00%；</w:t>
      </w:r>
      <w:r>
        <w:rPr>
          <w:rFonts w:hint="eastAsia" w:ascii="方正仿宋_GBK" w:hAnsi="方正仿宋_GBK" w:eastAsia="方正仿宋_GBK" w:cs="方正仿宋_GBK"/>
          <w:sz w:val="32"/>
          <w:szCs w:val="32"/>
          <w:shd w:val="clear" w:color="auto" w:fill="FFFFFF"/>
          <w:lang w:val="en-US" w:eastAsia="zh-CN"/>
        </w:rPr>
        <w:t>主要原因是</w:t>
      </w:r>
      <w:r>
        <w:rPr>
          <w:rFonts w:ascii="方正仿宋_GBK" w:hAnsi="方正仿宋_GBK" w:eastAsia="方正仿宋_GBK" w:cs="方正仿宋_GBK"/>
          <w:sz w:val="32"/>
          <w:szCs w:val="32"/>
          <w:shd w:val="clear" w:color="auto" w:fill="FFFFFF"/>
        </w:rPr>
        <w:t>按照政府过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要求，学校压缩了“三公”经费支出。较上年支出数减少0.42万元，下降8.54%，主要原因是按照政府过紧日子要求，学校压缩了“三公”经费支出。</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万元，主要用于教职工上下班通勤车辆用燃油费、维修费和保险费等支出。费用支出较年初预算数减少1.50万元，下降25.00%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主要原因是按照政府过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要求，学校压缩了“三公”经费支出。较上年支出数减少0.42万元，下降8.54%，主要原因是按照政府过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要求，学校压缩了“三公”经费支出。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62.96</w:t>
      </w:r>
      <w:r>
        <w:rPr>
          <w:rFonts w:ascii="方正仿宋_GBK" w:hAnsi="方正仿宋_GBK" w:eastAsia="方正仿宋_GBK" w:cs="方正仿宋_GBK"/>
          <w:sz w:val="32"/>
          <w:szCs w:val="32"/>
          <w:shd w:val="clear" w:color="auto" w:fill="FFFFFF"/>
        </w:rPr>
        <w:t>万元，与2023年度相比，增加31.49万元，增长100.06%，主要原因是学校加大了师资队伍的建设和培训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9.52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9.52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9.52万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9.52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根据预算绩效管理要求，我单位对2</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个二级项目开展了绩效自评，涉及财政拨款项目支出资金2085.04万元。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296535" cy="51346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96535" cy="5134610"/>
                    </a:xfrm>
                    <a:prstGeom prst="rect">
                      <a:avLst/>
                    </a:prstGeom>
                    <a:noFill/>
                    <a:ln>
                      <a:noFill/>
                    </a:ln>
                  </pic:spPr>
                </pic:pic>
              </a:graphicData>
            </a:graphic>
          </wp:inline>
        </w:drawing>
      </w:r>
      <w:r>
        <w:drawing>
          <wp:inline distT="0" distB="0" distL="114300" distR="114300">
            <wp:extent cx="5998845" cy="4879340"/>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998845" cy="487934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600" w:lineRule="exact"/>
        <w:ind w:firstLine="640" w:firstLineChars="200"/>
        <w:rPr>
          <w:rStyle w:val="10"/>
          <w:rFonts w:ascii="方正仿宋_GBK" w:hAnsi="方正仿宋_GBK" w:eastAsia="方正仿宋_GBK" w:cs="方正仿宋_GBK"/>
          <w:b w:val="0"/>
          <w:sz w:val="32"/>
          <w:szCs w:val="32"/>
        </w:rPr>
      </w:pPr>
      <w:r>
        <w:rPr>
          <w:rFonts w:ascii="方正仿宋_GBK" w:hAnsi="方正仿宋_GBK" w:eastAsia="方正仿宋_GBK" w:cs="方正仿宋_GBK"/>
          <w:sz w:val="32"/>
          <w:szCs w:val="32"/>
          <w:shd w:val="clear" w:color="auto" w:fill="FFFFFF"/>
        </w:rPr>
        <w:t xml:space="preserve">袁老师      </w:t>
      </w:r>
      <w:r>
        <w:rPr>
          <w:rFonts w:ascii="方正仿宋_GBK" w:eastAsia="方正仿宋_GBK"/>
          <w:sz w:val="32"/>
          <w:szCs w:val="32"/>
        </w:rPr>
        <w:t>023-74656638</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重庆市垫江中学校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12,599.07</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570.65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11,515.08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1,222.22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2,071.74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420.12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498.31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14,391.94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14,505.25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155.13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41.82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14,547.07</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14,547.07</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72" w:hRule="exac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2"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272" w:hRule="exac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14,391.94</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12,599.07</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570.65</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570.65</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1,222.22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11,401.77</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9,608.90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570.65</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570.65</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1,222.22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11,177.02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9,384.15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570.65</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570.65</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1,222.22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407.16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301.05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106.10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4,423.82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3,937.92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485.90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6,346.04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5,145.18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570.65</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570.65</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630.21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176.68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176.68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176.68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176.68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44.69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44.69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44.69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44.69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2,071.74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2,071.74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2,045.18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2,045.18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12.38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12.38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1,034.18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1,034.18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517.61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517.61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481.01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481.01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420.12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420.12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72"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498.31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498.31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重庆市垫江中学校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61"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261"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14,505.25</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12,420.21</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2,085.04</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11,515.08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9,431.34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2,083.73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11,290.32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9,228.04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2,062.29</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373.58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316.99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56.58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4,415.58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3,279.79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1,135.79</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6,501.17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5,631.25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869.91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176.68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161.85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176.68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161.85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14.83</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44.69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41.46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44.69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41.46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3.23</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3.38</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2,071.74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2,070.44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2,045.18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2,043.88</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12.38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12.38</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1,034.18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1,034.18</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517.61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517.61</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481.01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479.70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420.12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420.12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61"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498.31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498.31</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9,608.90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9,608.90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2,071.74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2,071.74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420.12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420.12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498.31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498.31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12,599.07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83" w:hRule="exac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12" w:hRule="exac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12" w:hRule="exac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283" w:hRule="exac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12,599.07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10,514.03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2,085.04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9,608.90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7,525.17</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2,083.73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9,384.15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7,321.86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2,062.29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301.05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244.47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56.58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3,937.92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2,802.12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1,135.79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5,145.18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4,275.27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869.91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176.68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161.85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14.83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176.68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161.85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14.83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44.69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41.46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44.69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41.46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2,071.74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2,070.44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2,045.18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2,043.88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12.38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12.38</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1,034.18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1,034.18</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517.61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517.61</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481.01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479.70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26.56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420.12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420.12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420.12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498.31</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83"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498.31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498.31</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9,823.99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171.39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2,357.80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79.42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4,829.29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1,034.18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517.61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420.12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11.99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498.31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75.28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518.65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41.46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312.79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24.60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74.77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141.05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55.16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10,342.64</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171.39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重庆市垫江中学校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62.96</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12.61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2E6BE9"/>
    <w:rsid w:val="0034050A"/>
    <w:rsid w:val="0044504F"/>
    <w:rsid w:val="00466C9B"/>
    <w:rsid w:val="00486CFC"/>
    <w:rsid w:val="00491DDD"/>
    <w:rsid w:val="00523E4F"/>
    <w:rsid w:val="00550ABE"/>
    <w:rsid w:val="00623A85"/>
    <w:rsid w:val="006A3B78"/>
    <w:rsid w:val="00770383"/>
    <w:rsid w:val="007819D4"/>
    <w:rsid w:val="007B419D"/>
    <w:rsid w:val="007B7C4B"/>
    <w:rsid w:val="007D3D39"/>
    <w:rsid w:val="008B5407"/>
    <w:rsid w:val="008E424B"/>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0B3919"/>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FA3E66"/>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5460C9"/>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63945"/>
    <w:rsid w:val="37841E99"/>
    <w:rsid w:val="37BF1123"/>
    <w:rsid w:val="383C3F15"/>
    <w:rsid w:val="38BE4696"/>
    <w:rsid w:val="3939115E"/>
    <w:rsid w:val="39B82A39"/>
    <w:rsid w:val="39C42CA8"/>
    <w:rsid w:val="39DC4FD6"/>
    <w:rsid w:val="39F03D7A"/>
    <w:rsid w:val="39F33306"/>
    <w:rsid w:val="3A286BBE"/>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CC574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D82E0A"/>
    <w:rsid w:val="45CB699A"/>
    <w:rsid w:val="46423C66"/>
    <w:rsid w:val="465B470D"/>
    <w:rsid w:val="469D6AD4"/>
    <w:rsid w:val="471E6C84"/>
    <w:rsid w:val="4748792B"/>
    <w:rsid w:val="475D719D"/>
    <w:rsid w:val="47674801"/>
    <w:rsid w:val="48225EF7"/>
    <w:rsid w:val="488F422B"/>
    <w:rsid w:val="48E36915"/>
    <w:rsid w:val="48EB6572"/>
    <w:rsid w:val="495C4A24"/>
    <w:rsid w:val="497135DF"/>
    <w:rsid w:val="4A0E53BE"/>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9803F9"/>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9F12A2"/>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186C6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8608</Words>
  <Characters>12077</Characters>
  <Lines>108</Lines>
  <Paragraphs>30</Paragraphs>
  <TotalTime>0</TotalTime>
  <ScaleCrop>false</ScaleCrop>
  <LinksUpToDate>false</LinksUpToDate>
  <CharactersWithSpaces>13256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2025-09-22T07:31:47Z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