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重庆市垫江县职业教育中心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3" w:firstLineChars="200"/>
        <w:rPr>
          <w:rFonts w:ascii="方正黑体_GBK" w:hAnsi="Times New Roman" w:eastAsia="方正黑体_GBK"/>
          <w:b/>
          <w:sz w:val="32"/>
          <w:szCs w:val="32"/>
        </w:rPr>
      </w:pPr>
    </w:p>
    <w:p>
      <w:pPr>
        <w:spacing w:line="600" w:lineRule="exact"/>
        <w:ind w:firstLine="640" w:firstLineChars="200"/>
        <w:rPr>
          <w:rFonts w:hint="default" w:ascii="方正黑体_GBK" w:hAnsi="Times New Roman" w:eastAsia="方正黑体_GBK"/>
          <w:b w:val="0"/>
          <w:bCs/>
          <w:sz w:val="32"/>
          <w:szCs w:val="32"/>
        </w:rPr>
      </w:pPr>
      <w:r>
        <w:rPr>
          <w:rFonts w:ascii="方正黑体_GBK" w:hAnsi="Times New Roman" w:eastAsia="方正黑体_GBK"/>
          <w:b w:val="0"/>
          <w:bCs/>
          <w:sz w:val="32"/>
          <w:szCs w:val="32"/>
        </w:rPr>
        <w:t>一、单位基本情况</w:t>
      </w:r>
    </w:p>
    <w:p>
      <w:pPr>
        <w:spacing w:line="600" w:lineRule="exact"/>
        <w:ind w:firstLine="643" w:firstLineChars="200"/>
        <w:rPr>
          <w:rFonts w:hint="default" w:ascii="Times New Roman" w:hAnsi="Times New Roman" w:eastAsia="方正楷体_GBK"/>
          <w:b/>
          <w:sz w:val="32"/>
          <w:szCs w:val="32"/>
        </w:rPr>
      </w:pPr>
      <w:r>
        <w:rPr>
          <w:rFonts w:ascii="Times New Roman" w:hAnsi="方正楷体_GBK" w:eastAsia="方正楷体_GBK"/>
          <w:b/>
          <w:sz w:val="32"/>
          <w:szCs w:val="32"/>
        </w:rPr>
        <w:t>（一）职能职责</w:t>
      </w:r>
    </w:p>
    <w:p>
      <w:pPr>
        <w:spacing w:line="60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负责对中职学生实施文化知识教育和职业技能的教育培训。</w:t>
      </w:r>
    </w:p>
    <w:p>
      <w:pPr>
        <w:spacing w:line="600" w:lineRule="exact"/>
        <w:ind w:firstLine="643" w:firstLineChars="200"/>
        <w:rPr>
          <w:rFonts w:ascii="方正楷体_GBK" w:eastAsia="方正楷体_GBK"/>
          <w:b/>
          <w:sz w:val="32"/>
          <w:szCs w:val="32"/>
        </w:rPr>
      </w:pPr>
      <w:r>
        <w:rPr>
          <w:rFonts w:ascii="方正楷体_GBK" w:eastAsia="方正楷体_GBK"/>
          <w:b/>
          <w:sz w:val="32"/>
          <w:szCs w:val="32"/>
        </w:rPr>
        <w:t>（二）机构设置</w:t>
      </w:r>
    </w:p>
    <w:p>
      <w:pPr>
        <w:spacing w:line="600" w:lineRule="exact"/>
        <w:ind w:firstLine="640" w:firstLineChars="200"/>
        <w:rPr>
          <w:rFonts w:hint="default" w:ascii="方正仿宋_GBK" w:eastAsia="方正仿宋_GBK"/>
          <w:sz w:val="32"/>
          <w:szCs w:val="32"/>
        </w:rPr>
      </w:pPr>
      <w:r>
        <w:rPr>
          <w:rFonts w:ascii="方正仿宋_GBK" w:eastAsia="方正仿宋_GBK"/>
          <w:sz w:val="32"/>
          <w:szCs w:val="32"/>
        </w:rPr>
        <w:t>学校单位领导职数5名(校长1名、副校长3名、纪委书记1名)，内设机构领导职数12名，内设机构有办公室、发展规划处、学生发展处、校企合作处、质量督导评价处、教学与课程研究处、财务后勤服务处、安稳办。</w:t>
      </w:r>
    </w:p>
    <w:p>
      <w:pPr>
        <w:spacing w:line="600" w:lineRule="exact"/>
        <w:ind w:firstLine="640" w:firstLineChars="200"/>
        <w:rPr>
          <w:rFonts w:hint="default" w:ascii="方正黑体_GBK" w:hAnsi="Times New Roman" w:eastAsia="方正黑体_GBK"/>
          <w:b w:val="0"/>
          <w:bCs/>
          <w:sz w:val="32"/>
          <w:szCs w:val="32"/>
        </w:rPr>
      </w:pPr>
      <w:r>
        <w:rPr>
          <w:rFonts w:ascii="方正黑体_GBK" w:hAnsi="Times New Roman" w:eastAsia="方正黑体_GBK"/>
          <w:b w:val="0"/>
          <w:bCs/>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2024年度收入总计6953.26万元，支出总计</w:t>
      </w:r>
      <w:r>
        <w:rPr>
          <w:rFonts w:ascii="方正仿宋_GBK" w:hAnsi="方正仿宋_GBK" w:eastAsia="方正仿宋_GBK" w:cs="方正仿宋_GBK"/>
          <w:sz w:val="32"/>
          <w:szCs w:val="32"/>
        </w:rPr>
        <w:t>6953.26</w:t>
      </w:r>
      <w:r>
        <w:rPr>
          <w:rFonts w:ascii="方正仿宋_GBK" w:hAnsi="方正仿宋_GBK" w:eastAsia="方正仿宋_GBK" w:cs="方正仿宋_GBK"/>
          <w:sz w:val="32"/>
          <w:szCs w:val="32"/>
          <w:shd w:val="clear" w:color="auto" w:fill="FFFFFF"/>
        </w:rPr>
        <w:t>万元。收、支与2024年度相比，减少1118.79万元，下降13.86%，主要原因是2024年度清算补发了以前年度的超额绩效和健康休养费。</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2024年度收入合计6953.26万元，与2024年度相比，减少1010.76万元，下降12.69%，主要原因是2024年度清算补发了以前年度的超额绩效和健康休养费。其中：财政拨款收入</w:t>
      </w:r>
      <w:r>
        <w:rPr>
          <w:rFonts w:ascii="方正仿宋_GBK" w:hAnsi="方正仿宋_GBK" w:eastAsia="方正仿宋_GBK" w:cs="方正仿宋_GBK"/>
          <w:sz w:val="32"/>
          <w:szCs w:val="32"/>
        </w:rPr>
        <w:t>6597.74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94.89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208.06</w:t>
      </w:r>
      <w:r>
        <w:rPr>
          <w:rFonts w:ascii="方正仿宋_GBK" w:hAnsi="方正仿宋_GBK" w:eastAsia="方正仿宋_GBK" w:cs="方正仿宋_GBK"/>
          <w:sz w:val="32"/>
          <w:szCs w:val="32"/>
          <w:shd w:val="clear" w:color="auto" w:fill="FFFFFF"/>
        </w:rPr>
        <w:t>万元，占2.99%；经营收入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147.47</w:t>
      </w:r>
      <w:r>
        <w:rPr>
          <w:rFonts w:ascii="方正仿宋_GBK" w:hAnsi="方正仿宋_GBK" w:eastAsia="方正仿宋_GBK" w:cs="方正仿宋_GBK"/>
          <w:sz w:val="32"/>
          <w:szCs w:val="32"/>
          <w:shd w:val="clear" w:color="auto" w:fill="FFFFFF"/>
        </w:rPr>
        <w:t>万元，占2.12%。此外，使用非财政拨款结余和专用结余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6865.34</w:t>
      </w:r>
      <w:r>
        <w:rPr>
          <w:rFonts w:ascii="方正仿宋_GBK" w:hAnsi="方正仿宋_GBK" w:eastAsia="方正仿宋_GBK" w:cs="方正仿宋_GBK"/>
          <w:sz w:val="32"/>
          <w:szCs w:val="32"/>
          <w:shd w:val="clear" w:color="auto" w:fill="FFFFFF"/>
        </w:rPr>
        <w:t>万元，与2024年度相比，减少1206.71万元，下降14.95%，主要原因是2024年度清算补发了以前年度的超额绩效和健康休养费。其中：基本支出</w:t>
      </w:r>
      <w:r>
        <w:rPr>
          <w:rFonts w:ascii="方正仿宋_GBK" w:hAnsi="方正仿宋_GBK" w:eastAsia="方正仿宋_GBK" w:cs="方正仿宋_GBK"/>
          <w:sz w:val="32"/>
          <w:szCs w:val="32"/>
        </w:rPr>
        <w:t>5586.86</w:t>
      </w:r>
      <w:r>
        <w:rPr>
          <w:rFonts w:ascii="方正仿宋_GBK" w:hAnsi="方正仿宋_GBK" w:eastAsia="方正仿宋_GBK" w:cs="方正仿宋_GBK"/>
          <w:sz w:val="32"/>
          <w:szCs w:val="32"/>
          <w:shd w:val="clear" w:color="auto" w:fill="FFFFFF"/>
        </w:rPr>
        <w:t>万元，占81.38%；项目支出</w:t>
      </w:r>
      <w:r>
        <w:rPr>
          <w:rFonts w:ascii="方正仿宋_GBK" w:hAnsi="方正仿宋_GBK" w:eastAsia="方正仿宋_GBK" w:cs="方正仿宋_GBK"/>
          <w:sz w:val="32"/>
          <w:szCs w:val="32"/>
        </w:rPr>
        <w:t>1278.48</w:t>
      </w:r>
      <w:r>
        <w:rPr>
          <w:rFonts w:ascii="方正仿宋_GBK" w:hAnsi="方正仿宋_GBK" w:eastAsia="方正仿宋_GBK" w:cs="方正仿宋_GBK"/>
          <w:sz w:val="32"/>
          <w:szCs w:val="32"/>
          <w:shd w:val="clear" w:color="auto" w:fill="FFFFFF"/>
        </w:rPr>
        <w:t>万元，占18.62%；经营支出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79.91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8.01</w:t>
      </w:r>
      <w:r>
        <w:rPr>
          <w:rFonts w:ascii="方正仿宋_GBK" w:hAnsi="方正仿宋_GBK" w:eastAsia="方正仿宋_GBK" w:cs="方正仿宋_GBK"/>
          <w:sz w:val="32"/>
          <w:szCs w:val="32"/>
          <w:shd w:val="clear" w:color="auto" w:fill="FFFFFF"/>
        </w:rPr>
        <w:t>万元，与2024年度相比，增加8.01万元，增长100.00%，主要原因是名师工作室经费结转至2025年继续使用。</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2024年度财政拨款收、支总计6597.74万元。与2023年相比，财政拨款收、支总计各减少916.91万元，下降12.20%。主要原因是2024年度清算补发了以前年度的超额绩效和健康休养费。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6597.74</w:t>
      </w:r>
      <w:r>
        <w:rPr>
          <w:rFonts w:ascii="方正仿宋_GBK" w:hAnsi="方正仿宋_GBK" w:eastAsia="方正仿宋_GBK" w:cs="方正仿宋_GBK"/>
          <w:sz w:val="32"/>
          <w:szCs w:val="32"/>
          <w:shd w:val="clear" w:color="auto" w:fill="FFFFFF"/>
        </w:rPr>
        <w:t>万元，与2024年度相比，减少916.91万元，下降12.20%。主要原因是2024年度清算补发了以前年度的超额绩效和健康休养费。较年初预算数增加1387.72万元，增长26.64%。主要原因是财政追加中职免学费补助资金和公用经费。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6597.74</w:t>
      </w:r>
      <w:r>
        <w:rPr>
          <w:rFonts w:ascii="方正仿宋_GBK" w:hAnsi="方正仿宋_GBK" w:eastAsia="方正仿宋_GBK" w:cs="方正仿宋_GBK"/>
          <w:sz w:val="32"/>
          <w:szCs w:val="32"/>
          <w:shd w:val="clear" w:color="auto" w:fill="FFFFFF"/>
        </w:rPr>
        <w:t>万元，与2024年度相比，减少916.91万元，下降12.20%。主要原因是2024年度清算补发了以前年度的超额绩效和健康休养费。较年初预算数增加1387.72万元，增长26.64%。主要原因是增加了中职免学费和公用经费的支出。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万元，与2024年度相比，无增减，主要原因是2024年和2024年无一般公共预算财政拨款和结转和结余。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5075.73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76.93</w:t>
      </w:r>
      <w:r>
        <w:rPr>
          <w:rFonts w:ascii="方正仿宋_GBK" w:hAnsi="方正仿宋_GBK" w:eastAsia="方正仿宋_GBK" w:cs="方正仿宋_GBK"/>
          <w:sz w:val="32"/>
          <w:szCs w:val="32"/>
          <w:shd w:val="clear" w:color="auto" w:fill="FFFFFF"/>
        </w:rPr>
        <w:t>%，较年初预算数增加1069.55万元，增长26.70%，主要原因是追加中职免学费补助和公用经费支出。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1056.52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16.01</w:t>
      </w:r>
      <w:r>
        <w:rPr>
          <w:rFonts w:ascii="方正仿宋_GBK" w:hAnsi="方正仿宋_GBK" w:eastAsia="方正仿宋_GBK" w:cs="方正仿宋_GBK"/>
          <w:sz w:val="32"/>
          <w:szCs w:val="32"/>
          <w:shd w:val="clear" w:color="auto" w:fill="FFFFFF"/>
        </w:rPr>
        <w:t>%，较年初预算数增加324.47万元，增长44.32%，主要原因是增加退休人员一次性生活补贴和超额绩效纳入2024年养老保险、职业年金基数追加预算。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211.55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3.21</w:t>
      </w:r>
      <w:r>
        <w:rPr>
          <w:rFonts w:ascii="方正仿宋_GBK" w:hAnsi="方正仿宋_GBK" w:eastAsia="方正仿宋_GBK" w:cs="方正仿宋_GBK"/>
          <w:sz w:val="32"/>
          <w:szCs w:val="32"/>
          <w:shd w:val="clear" w:color="auto" w:fill="FFFFFF"/>
        </w:rPr>
        <w:t>%，较年初预算数减少2.90万元，下降1.35%，主要原因是人员退休导致医疗保险缴费支出减少。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住房保障支出253.94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3.85</w:t>
      </w:r>
      <w:r>
        <w:rPr>
          <w:rFonts w:ascii="方正仿宋_GBK" w:hAnsi="方正仿宋_GBK" w:eastAsia="方正仿宋_GBK" w:cs="方正仿宋_GBK"/>
          <w:sz w:val="32"/>
          <w:szCs w:val="32"/>
          <w:shd w:val="clear" w:color="auto" w:fill="FFFFFF"/>
        </w:rPr>
        <w:t>%，较年初预算数减少3.40万元，下降1.32%，主要原因是人员退休后公积金缴费总基数减少。</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5333.88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5250.32</w:t>
      </w:r>
      <w:r>
        <w:rPr>
          <w:rFonts w:ascii="方正仿宋_GBK" w:hAnsi="方正仿宋_GBK" w:eastAsia="方正仿宋_GBK" w:cs="方正仿宋_GBK"/>
          <w:sz w:val="32"/>
          <w:szCs w:val="32"/>
          <w:shd w:val="clear" w:color="auto" w:fill="FFFFFF"/>
        </w:rPr>
        <w:t>万元，与2024年度相比，减少662.95万元，下降11.21%，主要原因是2024年清算发放了以前年度超额绩效。</w:t>
      </w:r>
      <w:r>
        <w:rPr>
          <w:rFonts w:ascii="方正仿宋_GBK" w:eastAsia="方正仿宋_GBK"/>
          <w:sz w:val="32"/>
          <w:szCs w:val="32"/>
        </w:rPr>
        <w:t>人员经费用途主要包括教师岗位工资、薪级工资、津补贴、绩效工资、社会保障和就业支出、医疗卫生支出和住房保障支出、健康休养费、退休人员生活补贴等；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83.56</w:t>
      </w:r>
      <w:r>
        <w:rPr>
          <w:rFonts w:ascii="方正仿宋_GBK" w:hAnsi="方正仿宋_GBK" w:eastAsia="方正仿宋_GBK" w:cs="方正仿宋_GBK"/>
          <w:sz w:val="32"/>
          <w:szCs w:val="32"/>
          <w:shd w:val="clear" w:color="auto" w:fill="FFFFFF"/>
        </w:rPr>
        <w:t>万元，与2024年度相比，减少8.26万元，下降9.00%，主要原因是工会经费、培训费、福利费的预算基数减少所致。</w:t>
      </w:r>
      <w:r>
        <w:rPr>
          <w:rFonts w:ascii="方正仿宋_GBK" w:eastAsia="方正仿宋_GBK"/>
          <w:sz w:val="32"/>
          <w:szCs w:val="32"/>
        </w:rPr>
        <w:t>公用经费用途主要包括学校师资培训、教职工体检、工作餐等福利、工会补助等支出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Times New Roman" w:eastAsia="方正黑体_GBK"/>
          <w:b w:val="0"/>
          <w:bCs/>
          <w:sz w:val="32"/>
          <w:szCs w:val="32"/>
        </w:rPr>
      </w:pPr>
      <w:r>
        <w:rPr>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Times New Roman" w:eastAsia="方正黑体_GBK"/>
          <w:b w:val="0"/>
          <w:bCs/>
          <w:sz w:val="32"/>
          <w:szCs w:val="32"/>
        </w:rPr>
      </w:pPr>
      <w:r>
        <w:rPr>
          <w:rFonts w:ascii="方正黑体_GBK" w:hAnsi="Times New Roman" w:eastAsia="方正黑体_GBK"/>
          <w:b w:val="0"/>
          <w:bCs/>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61.05</w:t>
      </w:r>
      <w:r>
        <w:rPr>
          <w:rFonts w:ascii="方正仿宋_GBK" w:hAnsi="方正仿宋_GBK" w:eastAsia="方正仿宋_GBK" w:cs="方正仿宋_GBK"/>
          <w:sz w:val="32"/>
          <w:szCs w:val="32"/>
          <w:shd w:val="clear" w:color="auto" w:fill="FFFFFF"/>
        </w:rPr>
        <w:t>万元，与2024年度相比，增加3.72万元，增长6.49%，主要原因是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加大了师资队伍的建设和培训</w:t>
      </w:r>
      <w:r>
        <w:rPr>
          <w:rFonts w:hint="eastAsia"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163.80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163.80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163.80万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 xml:space="preserve"> %。主要用于采购学生实训设备和教学办公用品。</w:t>
      </w:r>
    </w:p>
    <w:p>
      <w:pPr>
        <w:spacing w:line="600" w:lineRule="exact"/>
        <w:ind w:firstLine="640" w:firstLineChars="200"/>
        <w:rPr>
          <w:rFonts w:hint="eastAsia" w:ascii="方正黑体_GBK" w:hAnsi="Times New Roman" w:eastAsia="方正黑体_GBK"/>
          <w:b w:val="0"/>
          <w:bCs/>
          <w:sz w:val="32"/>
          <w:szCs w:val="32"/>
        </w:rPr>
      </w:pPr>
      <w:r>
        <w:rPr>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根据预算绩效管理要求，我单位对5个二级项目开展了绩效自评，涉及财政拨款项目支出资金</w:t>
      </w:r>
      <w:r>
        <w:rPr>
          <w:rFonts w:ascii="方正仿宋_GBK" w:hAnsi="方正仿宋_GBK" w:eastAsia="方正仿宋_GBK" w:cs="方正仿宋_GBK"/>
          <w:sz w:val="32"/>
          <w:szCs w:val="32"/>
          <w:shd w:val="clear" w:color="auto" w:fill="FFFFFF"/>
        </w:rPr>
        <w:t>1263.86</w:t>
      </w:r>
      <w:r>
        <w:rPr>
          <w:rFonts w:hint="eastAsia" w:ascii="方正仿宋_GBK" w:hAnsi="方正仿宋_GBK" w:eastAsia="方正仿宋_GBK" w:cs="方正仿宋_GBK"/>
          <w:sz w:val="32"/>
          <w:szCs w:val="32"/>
          <w:shd w:val="clear" w:color="auto" w:fill="FFFFFF"/>
        </w:rPr>
        <w:t>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rPr>
          <w:sz w:val="32"/>
          <w:szCs w:val="32"/>
        </w:rPr>
        <w:drawing>
          <wp:anchor distT="0" distB="0" distL="114300" distR="114300" simplePos="0" relativeHeight="251659264" behindDoc="0" locked="0" layoutInCell="1" allowOverlap="1">
            <wp:simplePos x="0" y="0"/>
            <wp:positionH relativeFrom="margin">
              <wp:posOffset>9525</wp:posOffset>
            </wp:positionH>
            <wp:positionV relativeFrom="margin">
              <wp:posOffset>-142875</wp:posOffset>
            </wp:positionV>
            <wp:extent cx="5998845" cy="5668010"/>
            <wp:effectExtent l="0" t="0" r="190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98845" cy="5668010"/>
                    </a:xfrm>
                    <a:prstGeom prst="rect">
                      <a:avLst/>
                    </a:prstGeom>
                    <a:noFill/>
                    <a:ln>
                      <a:noFill/>
                    </a:ln>
                  </pic:spPr>
                </pic:pic>
              </a:graphicData>
            </a:graphic>
          </wp:anchor>
        </w:drawing>
      </w:r>
      <w:r>
        <w:t xml:space="preserve"> </w:t>
      </w: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p>
    <w:p>
      <w:pPr>
        <w:rPr>
          <w:rFonts w:hint="default" w:ascii="楷体" w:hAnsi="楷体" w:eastAsia="楷体" w:cs="宋体"/>
          <w:b/>
          <w:bCs/>
          <w:color w:val="000000"/>
          <w:sz w:val="32"/>
          <w:szCs w:val="32"/>
          <w:shd w:val="clear" w:color="auto" w:fill="FFFFFF"/>
        </w:rPr>
      </w:pPr>
      <w:r>
        <w:rPr>
          <w:sz w:val="32"/>
          <w:szCs w:val="32"/>
        </w:rPr>
        <w:drawing>
          <wp:anchor distT="0" distB="0" distL="114300" distR="114300" simplePos="0" relativeHeight="251661312" behindDoc="0" locked="0" layoutInCell="1" allowOverlap="1">
            <wp:simplePos x="0" y="0"/>
            <wp:positionH relativeFrom="margin">
              <wp:posOffset>-398145</wp:posOffset>
            </wp:positionH>
            <wp:positionV relativeFrom="margin">
              <wp:posOffset>224155</wp:posOffset>
            </wp:positionV>
            <wp:extent cx="6353810" cy="5454015"/>
            <wp:effectExtent l="0" t="0" r="8890" b="381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53810" cy="5454015"/>
                    </a:xfrm>
                    <a:prstGeom prst="rect">
                      <a:avLst/>
                    </a:prstGeom>
                    <a:noFill/>
                    <a:ln>
                      <a:noFill/>
                    </a:ln>
                  </pic:spPr>
                </pic:pic>
              </a:graphicData>
            </a:graphic>
          </wp:anchor>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Times New Roman" w:eastAsia="方正黑体_GBK"/>
          <w:b w:val="0"/>
          <w:bCs/>
          <w:sz w:val="32"/>
          <w:szCs w:val="32"/>
        </w:rPr>
      </w:pPr>
      <w:r>
        <w:rPr>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楷体_GBK" w:hAnsi="楷体" w:eastAsia="方正楷体_GBK"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指单位取得的除“财政拨款收入”“事业收入”</w:t>
      </w:r>
      <w:bookmarkStart w:id="0" w:name="_GoBack"/>
      <w:bookmarkEnd w:id="0"/>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Fonts w:ascii="方正楷体_GBK" w:eastAsia="方正楷体_GBK"/>
          <w:sz w:val="32"/>
          <w:szCs w:val="32"/>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（十六）对个人和家庭的补助（支出经济分类科目类级）</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Style w:val="10"/>
          <w:rFonts w:ascii="方正楷体_GBK" w:eastAsia="方正楷体_GBK"/>
          <w:sz w:val="32"/>
          <w:szCs w:val="32"/>
        </w:rPr>
      </w:pPr>
      <w:r>
        <w:rPr>
          <w:rStyle w:val="10"/>
          <w:rFonts w:ascii="方正楷体_GBK" w:hAnsi="楷体" w:eastAsia="方正楷体_GBK" w:cs="楷体"/>
          <w:sz w:val="32"/>
          <w:szCs w:val="32"/>
          <w:shd w:val="clear" w:color="auto" w:fill="FFFFFF"/>
        </w:rPr>
        <w:t>（十七）其他资本性支出（支出经济分类科目类级）</w:t>
      </w:r>
      <w:r>
        <w:rPr>
          <w:rStyle w:val="10"/>
          <w:rFonts w:ascii="方正楷体_GBK" w:eastAsia="方正楷体_GBK"/>
          <w:sz w:val="32"/>
          <w:szCs w:val="32"/>
        </w:rPr>
        <w:t>：</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Times New Roman" w:eastAsia="方正黑体_GBK"/>
          <w:b w:val="0"/>
          <w:bCs/>
          <w:sz w:val="32"/>
          <w:szCs w:val="32"/>
        </w:rPr>
      </w:pPr>
      <w:r>
        <w:rPr>
          <w:rFonts w:ascii="方正黑体_GBK" w:hAnsi="Times New Roman" w:eastAsia="方正黑体_GBK"/>
          <w:b w:val="0"/>
          <w:bCs/>
          <w:sz w:val="32"/>
          <w:szCs w:val="32"/>
        </w:rPr>
        <w:t>七、决算公开联系方式及信息反馈渠道</w:t>
      </w:r>
    </w:p>
    <w:p>
      <w:pPr>
        <w:spacing w:line="600" w:lineRule="exact"/>
        <w:ind w:firstLine="640" w:firstLineChars="20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游老师</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023-74642146</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重庆市垫江县职业教育中心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6,597.74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6,953.26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6,865.34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6,953.26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6,953.26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60" w:type="dxa"/>
        <w:tblInd w:w="0" w:type="dxa"/>
        <w:tblLayout w:type="fixed"/>
        <w:tblCellMar>
          <w:top w:w="0" w:type="dxa"/>
          <w:left w:w="0" w:type="dxa"/>
          <w:bottom w:w="0" w:type="dxa"/>
          <w:right w:w="0" w:type="dxa"/>
        </w:tblCellMar>
      </w:tblPr>
      <w:tblGrid>
        <w:gridCol w:w="1435"/>
        <w:gridCol w:w="2930"/>
        <w:gridCol w:w="1588"/>
        <w:gridCol w:w="1456"/>
        <w:gridCol w:w="1261"/>
        <w:gridCol w:w="1443"/>
        <w:gridCol w:w="1464"/>
        <w:gridCol w:w="1301"/>
        <w:gridCol w:w="1355"/>
        <w:gridCol w:w="1327"/>
      </w:tblGrid>
      <w:tr>
        <w:tblPrEx>
          <w:tblLayout w:type="fixed"/>
          <w:tblCellMar>
            <w:top w:w="0" w:type="dxa"/>
            <w:left w:w="0" w:type="dxa"/>
            <w:bottom w:w="0" w:type="dxa"/>
            <w:right w:w="0" w:type="dxa"/>
          </w:tblCellMar>
        </w:tblPrEx>
        <w:trPr>
          <w:trHeight w:val="641" w:hRule="atLeast"/>
        </w:trPr>
        <w:tc>
          <w:tcPr>
            <w:tcW w:w="1556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5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重庆市垫江县职业教育中心</w:t>
            </w:r>
          </w:p>
        </w:tc>
        <w:tc>
          <w:tcPr>
            <w:tcW w:w="14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6,953.26</w:t>
            </w:r>
            <w:r>
              <w:rPr>
                <w:rFonts w:ascii="Times New Roman" w:hAnsi="Times New Roman"/>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6,597.74</w:t>
            </w:r>
            <w:r>
              <w:rPr>
                <w:rFonts w:ascii="Times New Roman" w:hAnsi="Times New Roman"/>
                <w:b/>
                <w:color w:val="000000"/>
                <w:sz w:val="20"/>
                <w:u w:color="auto"/>
              </w:rPr>
              <w:t xml:space="preserve"> </w:t>
            </w:r>
          </w:p>
        </w:tc>
        <w:tc>
          <w:tcPr>
            <w:tcW w:w="12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208.06</w:t>
            </w:r>
            <w:r>
              <w:rPr>
                <w:rFonts w:ascii="Times New Roman" w:hAnsi="Times New Roman"/>
                <w:b/>
                <w:color w:val="000000"/>
                <w:sz w:val="20"/>
                <w:u w:color="auto"/>
              </w:rPr>
              <w:t xml:space="preserve"> </w:t>
            </w:r>
          </w:p>
        </w:tc>
        <w:tc>
          <w:tcPr>
            <w:tcW w:w="1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208.06</w:t>
            </w:r>
            <w:r>
              <w:rPr>
                <w:rFonts w:ascii="Times New Roman" w:hAnsi="Times New Roman"/>
                <w:b/>
                <w:color w:val="000000"/>
                <w:sz w:val="20"/>
                <w:u w:color="auto"/>
              </w:rPr>
              <w:t xml:space="preserve"> </w:t>
            </w:r>
          </w:p>
        </w:tc>
        <w:tc>
          <w:tcPr>
            <w:tcW w:w="1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5,431.25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5,075.73</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职业教育</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5,420.88</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5,065.36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2050302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中等职业教育</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5,420.88</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5,065.36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208.06</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208.06</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297"/>
        <w:gridCol w:w="3615"/>
        <w:gridCol w:w="1848"/>
        <w:gridCol w:w="1771"/>
        <w:gridCol w:w="1630"/>
        <w:gridCol w:w="1563"/>
        <w:gridCol w:w="1698"/>
        <w:gridCol w:w="1956"/>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6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重庆市垫江县职业教育中心 </w:t>
            </w:r>
          </w:p>
        </w:tc>
        <w:tc>
          <w:tcPr>
            <w:tcW w:w="17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6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6,865.34</w:t>
            </w:r>
            <w:r>
              <w:rPr>
                <w:rFonts w:ascii="Times New Roman" w:hAnsi="Times New Roman"/>
                <w:b/>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5,586.86</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1,278.48</w:t>
            </w:r>
            <w:r>
              <w:rPr>
                <w:rFonts w:ascii="Times New Roman" w:hAnsi="Times New Roman"/>
                <w:b/>
                <w:color w:val="000000"/>
                <w:sz w:val="20"/>
                <w:u w:color="auto"/>
              </w:rPr>
              <w:t xml:space="preserve"> </w:t>
            </w:r>
          </w:p>
        </w:tc>
        <w:tc>
          <w:tcPr>
            <w:tcW w:w="1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5,343.33</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4,065.64</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1,277.69</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职业教育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5,332.96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4,055.27</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1,277.69</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2050302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中等职业教育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5,332.96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4,055.27</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1,277.69</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1,055.73</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1,055.73</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545.56</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272.14</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238.03</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重庆市垫江县职业教育中心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5,075.73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5,075.73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1,056.52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211.55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6,597.74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310"/>
        <w:gridCol w:w="4088"/>
        <w:gridCol w:w="3318"/>
        <w:gridCol w:w="3309"/>
        <w:gridCol w:w="3353"/>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重庆市垫江县职业教育中心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6,597.74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5,333.88</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1,263.86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5,075.73</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3,812.66</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职业教育</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5,065.36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3,802.28</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2050302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中等职业教育</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5,065.36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3,802.28</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1,263.07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10.37</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1,055.73</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1,056.52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1,055.73</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545.56</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272.14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272.14</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238.03</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211.55</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211.55</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253.94</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59" w:type="dxa"/>
        <w:tblInd w:w="0" w:type="dxa"/>
        <w:tblLayout w:type="fixed"/>
        <w:tblCellMar>
          <w:top w:w="0" w:type="dxa"/>
          <w:left w:w="0" w:type="dxa"/>
          <w:bottom w:w="0" w:type="dxa"/>
          <w:right w:w="0" w:type="dxa"/>
        </w:tblCellMar>
      </w:tblPr>
      <w:tblGrid>
        <w:gridCol w:w="806"/>
        <w:gridCol w:w="2819"/>
        <w:gridCol w:w="1547"/>
        <w:gridCol w:w="876"/>
        <w:gridCol w:w="2039"/>
        <w:gridCol w:w="1423"/>
        <w:gridCol w:w="876"/>
        <w:gridCol w:w="3476"/>
        <w:gridCol w:w="1497"/>
      </w:tblGrid>
      <w:tr>
        <w:tblPrEx>
          <w:tblLayout w:type="fixed"/>
          <w:tblCellMar>
            <w:top w:w="0" w:type="dxa"/>
            <w:left w:w="0" w:type="dxa"/>
            <w:bottom w:w="0" w:type="dxa"/>
            <w:right w:w="0" w:type="dxa"/>
          </w:tblCellMar>
        </w:tblPrEx>
        <w:trPr>
          <w:trHeight w:val="90" w:hRule="atLeast"/>
        </w:trPr>
        <w:tc>
          <w:tcPr>
            <w:tcW w:w="15359"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重庆市垫江县职业教育中心</w:t>
            </w:r>
          </w:p>
        </w:tc>
        <w:tc>
          <w:tcPr>
            <w:tcW w:w="14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8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5,012.29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83.56</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1,202.59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38.01</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2,442.85</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545.56</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272.14</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211.55</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253.94</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39.24</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47.45</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5,250.32</w:t>
            </w:r>
            <w:r>
              <w:rPr>
                <w:rFonts w:ascii="Times New Roman" w:hAnsi="Times New Roman"/>
                <w:color w:val="000000"/>
                <w:sz w:val="18"/>
                <w:u w:color="auto"/>
              </w:rPr>
              <w:t xml:space="preserve"> </w:t>
            </w:r>
          </w:p>
        </w:tc>
        <w:tc>
          <w:tcPr>
            <w:tcW w:w="869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7" w:type="dxa"/>
        <w:tblInd w:w="0" w:type="dxa"/>
        <w:tblLayout w:type="fixed"/>
        <w:tblCellMar>
          <w:top w:w="0" w:type="dxa"/>
          <w:left w:w="0" w:type="dxa"/>
          <w:bottom w:w="0" w:type="dxa"/>
          <w:right w:w="0" w:type="dxa"/>
        </w:tblCellMar>
      </w:tblPr>
      <w:tblGrid>
        <w:gridCol w:w="1325"/>
        <w:gridCol w:w="3607"/>
        <w:gridCol w:w="1707"/>
        <w:gridCol w:w="1707"/>
        <w:gridCol w:w="1707"/>
        <w:gridCol w:w="1707"/>
        <w:gridCol w:w="1771"/>
        <w:gridCol w:w="1846"/>
      </w:tblGrid>
      <w:tr>
        <w:tblPrEx>
          <w:tblLayout w:type="fixed"/>
          <w:tblCellMar>
            <w:top w:w="0" w:type="dxa"/>
            <w:left w:w="0" w:type="dxa"/>
            <w:bottom w:w="0" w:type="dxa"/>
            <w:right w:w="0" w:type="dxa"/>
          </w:tblCellMar>
        </w:tblPrEx>
        <w:trPr>
          <w:trHeight w:val="644" w:hRule="atLeast"/>
        </w:trPr>
        <w:tc>
          <w:tcPr>
            <w:tcW w:w="15377"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3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重庆市垫江县职业教育中心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3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6"/>
        <w:gridCol w:w="86"/>
        <w:gridCol w:w="3413"/>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重庆市垫江县职业教育中心</w:t>
            </w:r>
          </w:p>
        </w:tc>
        <w:tc>
          <w:tcPr>
            <w:tcW w:w="375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重庆市垫江县职业教育中心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61.05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75.19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default" w:cs="宋体"/>
          <w:sz w:val="21"/>
          <w:szCs w:val="21"/>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D30FF9-43BC-4730-8B44-01CF5A2D711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embedRegular r:id="rId2" w:fontKey="{5B8C5B65-676D-4858-9112-FCF9651CF510}"/>
  </w:font>
  <w:font w:name="方正黑体_GBK">
    <w:panose1 w:val="02010600010101010101"/>
    <w:charset w:val="86"/>
    <w:family w:val="script"/>
    <w:pitch w:val="default"/>
    <w:sig w:usb0="00000000" w:usb1="00000000" w:usb2="00000000" w:usb3="00000000" w:csb0="00000000" w:csb1="00000000"/>
    <w:embedRegular r:id="rId3" w:fontKey="{DEDB43C4-B0E8-4B08-80E6-3BF3102CE545}"/>
  </w:font>
  <w:font w:name="方正楷体_GBK">
    <w:panose1 w:val="02000000000000000000"/>
    <w:charset w:val="86"/>
    <w:family w:val="script"/>
    <w:pitch w:val="default"/>
    <w:sig w:usb0="00000000" w:usb1="00000000" w:usb2="00000000" w:usb3="00000000" w:csb0="00000000" w:csb1="00000000"/>
    <w:embedRegular r:id="rId4" w:fontKey="{CB220136-D1BC-41EF-8975-7E6F92951480}"/>
  </w:font>
  <w:font w:name="方正仿宋_GBK">
    <w:panose1 w:val="02000000000000000000"/>
    <w:charset w:val="86"/>
    <w:family w:val="script"/>
    <w:pitch w:val="default"/>
    <w:sig w:usb0="00000000" w:usb1="00000000" w:usb2="00000000" w:usb3="00000000" w:csb0="00000000" w:csb1="00000000"/>
    <w:embedRegular r:id="rId5" w:fontKey="{7D255165-F2CF-4558-9D23-E2B9BA3C0CB0}"/>
  </w:font>
  <w:font w:name="楷体">
    <w:panose1 w:val="02010609060101010101"/>
    <w:charset w:val="86"/>
    <w:family w:val="modern"/>
    <w:pitch w:val="default"/>
    <w:sig w:usb0="800002BF" w:usb1="38CF7CFA" w:usb2="00000016" w:usb3="00000000" w:csb0="00040001" w:csb1="00000000"/>
    <w:embedRegular r:id="rId6" w:fontKey="{619953AB-26E8-45DD-99D7-B3BBF816B2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45431"/>
    <w:rsid w:val="000F07CF"/>
    <w:rsid w:val="00153719"/>
    <w:rsid w:val="001D3BB7"/>
    <w:rsid w:val="0020495F"/>
    <w:rsid w:val="00230E2B"/>
    <w:rsid w:val="00257FB2"/>
    <w:rsid w:val="002B254B"/>
    <w:rsid w:val="002D798D"/>
    <w:rsid w:val="003E1224"/>
    <w:rsid w:val="00466C9B"/>
    <w:rsid w:val="00550ABE"/>
    <w:rsid w:val="00693769"/>
    <w:rsid w:val="00770383"/>
    <w:rsid w:val="007819D4"/>
    <w:rsid w:val="007B419D"/>
    <w:rsid w:val="007B7C4B"/>
    <w:rsid w:val="007D3D39"/>
    <w:rsid w:val="008032D0"/>
    <w:rsid w:val="00994AF7"/>
    <w:rsid w:val="009B67B8"/>
    <w:rsid w:val="009D2B67"/>
    <w:rsid w:val="00A566F9"/>
    <w:rsid w:val="00AF2751"/>
    <w:rsid w:val="00B03CCD"/>
    <w:rsid w:val="00B421E6"/>
    <w:rsid w:val="00BE2B89"/>
    <w:rsid w:val="00BE7BE1"/>
    <w:rsid w:val="00C10E9E"/>
    <w:rsid w:val="00C13F37"/>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E144D9D"/>
    <w:rsid w:val="2F7C5D4E"/>
    <w:rsid w:val="2FCA4B37"/>
    <w:rsid w:val="2FE029D7"/>
    <w:rsid w:val="2FF06E00"/>
    <w:rsid w:val="30586FEC"/>
    <w:rsid w:val="315F0B22"/>
    <w:rsid w:val="31D84415"/>
    <w:rsid w:val="31FB0A19"/>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8F6CE1"/>
    <w:rsid w:val="3ADD7F09"/>
    <w:rsid w:val="3B1705E5"/>
    <w:rsid w:val="3B18334B"/>
    <w:rsid w:val="3B36794F"/>
    <w:rsid w:val="3B6F6EE0"/>
    <w:rsid w:val="3C4406E6"/>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D62B9F"/>
    <w:rsid w:val="5EFD467D"/>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30336E"/>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24</Pages>
  <Words>8174</Words>
  <Characters>10330</Characters>
  <Lines>93</Lines>
  <Paragraphs>26</Paragraphs>
  <TotalTime>1</TotalTime>
  <ScaleCrop>false</ScaleCrop>
  <LinksUpToDate>false</LinksUpToDate>
  <CharactersWithSpaces>11360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2025-08-11T03:40:00Z</dcterms:created>
  <dc:creator>Administrator</dc:creator>
  <cp:lastModifiedBy>Administrator</cp:lastModifiedBy>
  <dcterms:modified xsi:type="dcterms:W3CDTF">2025-09-22T07:33:32Z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