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重庆市垫江实验中学校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hint="default" w:eastAsia="方正楷体_GBK"/>
          <w:b/>
          <w:sz w:val="32"/>
          <w:szCs w:val="21"/>
        </w:rPr>
      </w:pPr>
      <w:r>
        <w:rPr>
          <w:rFonts w:hAnsi="方正楷体_GBK" w:eastAsia="方正楷体_GBK"/>
          <w:b/>
          <w:sz w:val="32"/>
          <w:szCs w:val="21"/>
        </w:rPr>
        <w:t>（一）职能职责</w:t>
      </w:r>
    </w:p>
    <w:p>
      <w:pPr>
        <w:spacing w:line="600" w:lineRule="exact"/>
        <w:ind w:firstLine="640" w:firstLineChars="200"/>
        <w:rPr>
          <w:rFonts w:hint="default" w:eastAsia="方正仿宋_GBK"/>
          <w:sz w:val="32"/>
        </w:rPr>
      </w:pPr>
      <w:r>
        <w:rPr>
          <w:rFonts w:eastAsia="方正仿宋_GBK"/>
          <w:sz w:val="32"/>
          <w:szCs w:val="32"/>
        </w:rPr>
        <w:t>负责普通高中学历教育，为高一级学校输送人才；负责适龄青少年义务教育工作。</w:t>
      </w:r>
    </w:p>
    <w:p>
      <w:pPr>
        <w:spacing w:line="600" w:lineRule="exact"/>
        <w:ind w:firstLine="643" w:firstLineChars="200"/>
        <w:rPr>
          <w:rFonts w:hint="default" w:eastAsia="方正楷体_GBK"/>
          <w:b/>
          <w:sz w:val="32"/>
        </w:rPr>
      </w:pPr>
      <w:r>
        <w:rPr>
          <w:rFonts w:hAnsi="方正楷体_GBK" w:eastAsia="方正楷体_GBK"/>
          <w:b/>
          <w:sz w:val="32"/>
        </w:rPr>
        <w:t>（二）机构设置</w:t>
      </w:r>
    </w:p>
    <w:p>
      <w:pPr>
        <w:spacing w:line="600" w:lineRule="exact"/>
        <w:ind w:firstLine="640" w:firstLineChars="200"/>
        <w:rPr>
          <w:rFonts w:hint="default" w:eastAsia="方正仿宋_GBK"/>
          <w:sz w:val="32"/>
        </w:rPr>
      </w:pPr>
      <w:r>
        <w:rPr>
          <w:rFonts w:eastAsia="方正仿宋_GBK"/>
          <w:sz w:val="32"/>
        </w:rPr>
        <w:t>学校</w:t>
      </w:r>
      <w:r>
        <w:rPr>
          <w:rFonts w:eastAsia="方正仿宋_GBK"/>
          <w:sz w:val="32"/>
          <w:szCs w:val="32"/>
        </w:rPr>
        <w:t>单位领导职数5名（校长1名、副校长4名）</w:t>
      </w:r>
      <w:r>
        <w:rPr>
          <w:rFonts w:eastAsia="方正仿宋_GBK"/>
          <w:sz w:val="32"/>
        </w:rPr>
        <w:t>，内设机构领导职数5名，内设机构有</w:t>
      </w:r>
      <w:r>
        <w:rPr>
          <w:rFonts w:eastAsia="方正仿宋_GBK"/>
          <w:sz w:val="32"/>
          <w:szCs w:val="32"/>
        </w:rPr>
        <w:t>办公室、教务处、后勤处、教科处、德育处</w:t>
      </w:r>
      <w:r>
        <w:rPr>
          <w:rFonts w:eastAsia="方正仿宋_GBK"/>
          <w:sz w:val="32"/>
        </w:rPr>
        <w:t>。</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r>
        <w:rPr>
          <w:rFonts w:hint="eastAsia" w:ascii="楷体" w:hAnsi="楷体" w:eastAsia="楷体" w:cs="楷体"/>
          <w:b/>
          <w:bCs/>
          <w:sz w:val="32"/>
          <w:szCs w:val="32"/>
          <w:shd w:val="clear" w:color="auto" w:fill="FFFFFF"/>
        </w:rPr>
        <w:t>。</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2024年度收入总计10475.72万元，支出总计</w:t>
      </w:r>
      <w:r>
        <w:rPr>
          <w:rFonts w:ascii="方正仿宋_GBK" w:hAnsi="方正仿宋_GBK" w:eastAsia="方正仿宋_GBK" w:cs="方正仿宋_GBK"/>
          <w:sz w:val="32"/>
          <w:szCs w:val="32"/>
        </w:rPr>
        <w:t>10475.72</w:t>
      </w:r>
      <w:r>
        <w:rPr>
          <w:rFonts w:ascii="方正仿宋_GBK" w:hAnsi="方正仿宋_GBK" w:eastAsia="方正仿宋_GBK" w:cs="方正仿宋_GBK"/>
          <w:sz w:val="32"/>
          <w:szCs w:val="32"/>
          <w:shd w:val="clear" w:color="auto" w:fill="FFFFFF"/>
        </w:rPr>
        <w:t>万元。收、支与2023年度相比，减少1255.71万元，下降10.70%，主要原因是2023年清算补发以前年度超额绩效和健康休养费。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2024年度收入合计10475.72万元，与2023年度相比，减少1065.88万元，下降9.24%，主要原因是2023年清算补发以前年度超额绩效和健康休养费。其中：财政拨款收入</w:t>
      </w:r>
      <w:r>
        <w:rPr>
          <w:rFonts w:ascii="方正仿宋_GBK" w:hAnsi="方正仿宋_GBK" w:eastAsia="方正仿宋_GBK" w:cs="方正仿宋_GBK"/>
          <w:sz w:val="32"/>
          <w:szCs w:val="32"/>
        </w:rPr>
        <w:t>9336.72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89.13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459.60</w:t>
      </w:r>
      <w:r>
        <w:rPr>
          <w:rFonts w:ascii="方正仿宋_GBK" w:hAnsi="方正仿宋_GBK" w:eastAsia="方正仿宋_GBK" w:cs="方正仿宋_GBK"/>
          <w:sz w:val="32"/>
          <w:szCs w:val="32"/>
          <w:shd w:val="clear" w:color="auto" w:fill="FFFFFF"/>
        </w:rPr>
        <w:t>万元，占4.39%；经营收入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679.39</w:t>
      </w:r>
      <w:r>
        <w:rPr>
          <w:rFonts w:ascii="方正仿宋_GBK" w:hAnsi="方正仿宋_GBK" w:eastAsia="方正仿宋_GBK" w:cs="方正仿宋_GBK"/>
          <w:sz w:val="32"/>
          <w:szCs w:val="32"/>
          <w:shd w:val="clear" w:color="auto" w:fill="FFFFFF"/>
        </w:rPr>
        <w:t>万元，占6.49%。此外，使用非财政拨款结余和专用结余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10371.12</w:t>
      </w:r>
      <w:r>
        <w:rPr>
          <w:rFonts w:ascii="方正仿宋_GBK" w:hAnsi="方正仿宋_GBK" w:eastAsia="方正仿宋_GBK" w:cs="方正仿宋_GBK"/>
          <w:sz w:val="32"/>
          <w:szCs w:val="32"/>
          <w:shd w:val="clear" w:color="auto" w:fill="FFFFFF"/>
        </w:rPr>
        <w:t>万元，与2023年度相比，减少1176.56万元，下降10.19%，主要原因是2023年清算补发以前年度超额绩效和健康休养费。其中：基本支出</w:t>
      </w:r>
      <w:r>
        <w:rPr>
          <w:rFonts w:ascii="方正仿宋_GBK" w:hAnsi="方正仿宋_GBK" w:eastAsia="方正仿宋_GBK" w:cs="方正仿宋_GBK"/>
          <w:sz w:val="32"/>
          <w:szCs w:val="32"/>
        </w:rPr>
        <w:t>9738.10</w:t>
      </w:r>
      <w:r>
        <w:rPr>
          <w:rFonts w:ascii="方正仿宋_GBK" w:hAnsi="方正仿宋_GBK" w:eastAsia="方正仿宋_GBK" w:cs="方正仿宋_GBK"/>
          <w:sz w:val="32"/>
          <w:szCs w:val="32"/>
          <w:shd w:val="clear" w:color="auto" w:fill="FFFFFF"/>
        </w:rPr>
        <w:t>万元，占93.90%；项目支出</w:t>
      </w:r>
      <w:r>
        <w:rPr>
          <w:rFonts w:ascii="方正仿宋_GBK" w:hAnsi="方正仿宋_GBK" w:eastAsia="方正仿宋_GBK" w:cs="方正仿宋_GBK"/>
          <w:sz w:val="32"/>
          <w:szCs w:val="32"/>
        </w:rPr>
        <w:t>633.02</w:t>
      </w:r>
      <w:r>
        <w:rPr>
          <w:rFonts w:ascii="方正仿宋_GBK" w:hAnsi="方正仿宋_GBK" w:eastAsia="方正仿宋_GBK" w:cs="方正仿宋_GBK"/>
          <w:sz w:val="32"/>
          <w:szCs w:val="32"/>
          <w:shd w:val="clear" w:color="auto" w:fill="FFFFFF"/>
        </w:rPr>
        <w:t>万元，占6.10%；经营支出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104.59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2024年度财政拨款收、支总计9336.72万元。与2023年相比，财政拨款收、支总计各减少819.68万元，下降8.07%。主要原因是2023年清算补发以前年度超额绩效和健康休养费。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9336.72</w:t>
      </w:r>
      <w:r>
        <w:rPr>
          <w:rFonts w:ascii="方正仿宋_GBK" w:hAnsi="方正仿宋_GBK" w:eastAsia="方正仿宋_GBK" w:cs="方正仿宋_GBK"/>
          <w:sz w:val="32"/>
          <w:szCs w:val="32"/>
          <w:shd w:val="clear" w:color="auto" w:fill="FFFFFF"/>
        </w:rPr>
        <w:t>万元，与2023年度相比，减少819.68万元，下降8.07%。主要原因是2023年清算补发以前年度超额绩效和健康休养费。较年初预算数增加1433.42万元，增长18.14%。主要原因是教职工正常晋升、岗位职级变化和增加教师43人后人员经费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9336.72</w:t>
      </w:r>
      <w:r>
        <w:rPr>
          <w:rFonts w:ascii="方正仿宋_GBK" w:hAnsi="方正仿宋_GBK" w:eastAsia="方正仿宋_GBK" w:cs="方正仿宋_GBK"/>
          <w:sz w:val="32"/>
          <w:szCs w:val="32"/>
          <w:shd w:val="clear" w:color="auto" w:fill="FFFFFF"/>
        </w:rPr>
        <w:t>万元，与2023年度相比，减少819.68万元，下降8.07%。主要原因是2023年清算补发以前年度超额绩效和健康休养费。较年初预算数增加1433.42万元，增长18.14%。主要原因是教职工正常晋升、岗位职级变化和增加教师43人后人员经费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6877.58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73.66</w:t>
      </w:r>
      <w:r>
        <w:rPr>
          <w:rFonts w:ascii="方正仿宋_GBK" w:hAnsi="方正仿宋_GBK" w:eastAsia="方正仿宋_GBK" w:cs="方正仿宋_GBK"/>
          <w:sz w:val="32"/>
          <w:szCs w:val="32"/>
          <w:shd w:val="clear" w:color="auto" w:fill="FFFFFF"/>
        </w:rPr>
        <w:t>%，较年初预算数增加864.12万元，增长14.37%，主要原因是教职工正常晋升、岗位职级变化和增加教师43人后人员经费增加。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1685.10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18.05</w:t>
      </w:r>
      <w:r>
        <w:rPr>
          <w:rFonts w:ascii="方正仿宋_GBK" w:hAnsi="方正仿宋_GBK" w:eastAsia="方正仿宋_GBK" w:cs="方正仿宋_GBK"/>
          <w:sz w:val="32"/>
          <w:szCs w:val="32"/>
          <w:shd w:val="clear" w:color="auto" w:fill="FFFFFF"/>
        </w:rPr>
        <w:t>%，较年初预算数增加547.26万元，增长48.10%，主要原因是补缴了以前年度养老保险和职业年金。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356.36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3.82</w:t>
      </w:r>
      <w:r>
        <w:rPr>
          <w:rFonts w:ascii="方正仿宋_GBK" w:hAnsi="方正仿宋_GBK" w:eastAsia="方正仿宋_GBK" w:cs="方正仿宋_GBK"/>
          <w:sz w:val="32"/>
          <w:szCs w:val="32"/>
          <w:shd w:val="clear" w:color="auto" w:fill="FFFFFF"/>
        </w:rPr>
        <w:t>%，较年初预算数增加14.54万元，增长4.25%，主要原因是教师人数增加导致缴费增加。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住房保障支出417.68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4.47</w:t>
      </w:r>
      <w:r>
        <w:rPr>
          <w:rFonts w:ascii="方正仿宋_GBK" w:hAnsi="方正仿宋_GBK" w:eastAsia="方正仿宋_GBK" w:cs="方正仿宋_GBK"/>
          <w:sz w:val="32"/>
          <w:szCs w:val="32"/>
          <w:shd w:val="clear" w:color="auto" w:fill="FFFFFF"/>
        </w:rPr>
        <w:t>%，较年初预算数增加7.49万元，增长1.83%，主要原因是教师人数增加导致缴费增加。</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spacing w:line="600" w:lineRule="exact"/>
        <w:ind w:firstLine="200"/>
        <w:rPr>
          <w:rFonts w:hint="default" w:ascii="方正仿宋_GBK" w:hAnsi="方正仿宋_GBK" w:eastAsia="方正仿宋_GBK" w:cs="方正仿宋_GBK"/>
          <w:sz w:val="32"/>
          <w:szCs w:val="32"/>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8712.04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8579.87</w:t>
      </w:r>
      <w:r>
        <w:rPr>
          <w:rFonts w:ascii="方正仿宋_GBK" w:hAnsi="方正仿宋_GBK" w:eastAsia="方正仿宋_GBK" w:cs="方正仿宋_GBK"/>
          <w:sz w:val="32"/>
          <w:szCs w:val="32"/>
          <w:shd w:val="clear" w:color="auto" w:fill="FFFFFF"/>
        </w:rPr>
        <w:t>万元，与2023年度相比，减少790.36万元，下降8.43%，主要原因是2023年清算补发以前年度超额绩效和健康休养费。人员经费用途主要包括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132.17</w:t>
      </w:r>
      <w:r>
        <w:rPr>
          <w:rFonts w:ascii="方正仿宋_GBK" w:hAnsi="方正仿宋_GBK" w:eastAsia="方正仿宋_GBK" w:cs="方正仿宋_GBK"/>
          <w:sz w:val="32"/>
          <w:szCs w:val="32"/>
          <w:shd w:val="clear" w:color="auto" w:fill="FFFFFF"/>
        </w:rPr>
        <w:t>万元，与2023年度相比，减少13.88万元，下降9.50%，主要原因是工会经费、培训费、福利费的预算基数减少所致。公用经费用途主要包括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5.55</w:t>
      </w:r>
      <w:r>
        <w:rPr>
          <w:rFonts w:ascii="方正仿宋_GBK" w:hAnsi="方正仿宋_GBK" w:eastAsia="方正仿宋_GBK" w:cs="方正仿宋_GBK"/>
          <w:sz w:val="32"/>
          <w:szCs w:val="32"/>
          <w:shd w:val="clear" w:color="auto" w:fill="FFFFFF"/>
        </w:rPr>
        <w:t>万元，较年初预算数减少5.45万元，下降49.55%，主要原因是根据政府过紧日子要求缩减“三公”经费支出。较上年支出数增加0.24万元，增长4.52%，主要原因是公务用车运行时间较长，运行成本有所增加。</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5.55</w:t>
      </w:r>
      <w:r>
        <w:rPr>
          <w:rFonts w:ascii="方正仿宋_GBK" w:hAnsi="方正仿宋_GBK" w:eastAsia="方正仿宋_GBK" w:cs="方正仿宋_GBK"/>
          <w:sz w:val="32"/>
          <w:szCs w:val="32"/>
          <w:shd w:val="clear" w:color="auto" w:fill="FFFFFF"/>
        </w:rPr>
        <w:t>万元，主要用于教职工上下班通勤用车的燃油、维修、保险等。费用支出较年初预算数减少4.45万元，下降44.50%，主要原因是根据政府过紧日子要求缩减“三公”经费支出。较上年支出数增加0.24万元，增长4.52%，主要原因是公务用车运行时间较长，运行成本有所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11"/>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5.55</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四、其他需要说明的事项</w:t>
      </w:r>
    </w:p>
    <w:p>
      <w:pPr>
        <w:pStyle w:val="6"/>
        <w:shd w:val="clear" w:color="auto" w:fill="FFFFFF"/>
        <w:spacing w:before="0" w:beforeAutospacing="0" w:after="0" w:afterAutospacing="0" w:line="600" w:lineRule="exact"/>
        <w:ind w:firstLine="643" w:firstLineChars="200"/>
        <w:rPr>
          <w:rFonts w:ascii="方正楷体_GBK" w:hAnsi="黑体" w:eastAsia="方正楷体_GBK" w:cs="黑体"/>
          <w:b/>
          <w:sz w:val="32"/>
          <w:szCs w:val="32"/>
          <w:shd w:val="clear" w:color="auto" w:fill="FFFFFF"/>
        </w:rPr>
      </w:pPr>
      <w:r>
        <w:rPr>
          <w:rFonts w:ascii="方正楷体_GBK" w:hAnsi="楷体" w:eastAsia="方正楷体_GBK" w:cs="楷体"/>
          <w:b/>
          <w:bCs/>
          <w:sz w:val="32"/>
          <w:szCs w:val="32"/>
          <w:shd w:val="clear" w:color="auto" w:fill="FFFFFF"/>
        </w:rPr>
        <w:t>（一）财政拨款会议费和培训费情况说明</w:t>
      </w:r>
    </w:p>
    <w:p>
      <w:pPr>
        <w:pStyle w:val="11"/>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22.22</w:t>
      </w:r>
      <w:r>
        <w:rPr>
          <w:rFonts w:ascii="方正仿宋_GBK" w:hAnsi="方正仿宋_GBK" w:eastAsia="方正仿宋_GBK" w:cs="方正仿宋_GBK"/>
          <w:sz w:val="32"/>
          <w:szCs w:val="32"/>
          <w:shd w:val="clear" w:color="auto" w:fill="FFFFFF"/>
        </w:rPr>
        <w:t>万元，与2023年度相比，减少7.48万元，下降25.19%，主要原因是学校压缩公用经费支出，减少了师资队伍的培训。</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截至2024年12月31日，本单位共有车辆</w:t>
      </w:r>
      <w:r>
        <w:rPr>
          <w:rFonts w:hint="eastAsia" w:ascii="方正仿宋_GBK" w:hAnsi="方正仿宋_GBK" w:eastAsia="方正仿宋_GBK" w:cs="方正仿宋_GBK"/>
          <w:sz w:val="32"/>
          <w:szCs w:val="32"/>
          <w:lang w:val="en-US" w:eastAsia="zh-CN"/>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lang w:val="en-US" w:eastAsia="zh-CN"/>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27.52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27.52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27.52万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27.52</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教学用设备和学生课桌椅.</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根据预算绩效管理要求，我单位对16个二级项目开展了绩效自评，涉及财政拨款项目支出资金624.69万元。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828030" cy="4864735"/>
            <wp:effectExtent l="0" t="0" r="127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828030" cy="4864735"/>
                    </a:xfrm>
                    <a:prstGeom prst="rect">
                      <a:avLst/>
                    </a:prstGeom>
                    <a:noFill/>
                    <a:ln>
                      <a:noFill/>
                    </a:ln>
                  </pic:spPr>
                </pic:pic>
              </a:graphicData>
            </a:graphic>
          </wp:inline>
        </w:drawing>
      </w:r>
      <w:r>
        <w:drawing>
          <wp:inline distT="0" distB="0" distL="114300" distR="114300">
            <wp:extent cx="5859145" cy="4879340"/>
            <wp:effectExtent l="0" t="0" r="825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859145" cy="4879340"/>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w:t>
      </w:r>
      <w:bookmarkStart w:id="0" w:name="_GoBack"/>
      <w:bookmarkEnd w:id="0"/>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rPr>
        <w:t>黄老师   023-74527780</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重庆市垫江实验中学校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9,336.72</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459.60</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7,911.98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679.39</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1,685.10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356.36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417.68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10,475.72</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10,371.12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104.59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10,475.72</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10,475.72</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637"/>
        <w:gridCol w:w="3230"/>
        <w:gridCol w:w="1286"/>
        <w:gridCol w:w="1345"/>
        <w:gridCol w:w="1168"/>
        <w:gridCol w:w="1168"/>
        <w:gridCol w:w="1299"/>
        <w:gridCol w:w="1238"/>
        <w:gridCol w:w="1370"/>
        <w:gridCol w:w="1581"/>
      </w:tblGrid>
      <w:tr>
        <w:tblPrEx>
          <w:tblLayout w:type="fixed"/>
          <w:tblCellMar>
            <w:top w:w="0" w:type="dxa"/>
            <w:left w:w="0" w:type="dxa"/>
            <w:bottom w:w="0" w:type="dxa"/>
            <w:right w:w="0" w:type="dxa"/>
          </w:tblCellMar>
        </w:tblPrEx>
        <w:trPr>
          <w:cantSplit/>
          <w:trHeight w:val="641" w:hRule="atLeast"/>
        </w:trPr>
        <w:tc>
          <w:tcPr>
            <w:tcW w:w="15322"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cantSplit/>
          <w:trHeight w:val="328" w:hRule="atLeast"/>
        </w:trPr>
        <w:tc>
          <w:tcPr>
            <w:tcW w:w="61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重庆市垫江实验中学校</w:t>
            </w:r>
          </w:p>
        </w:tc>
        <w:tc>
          <w:tcPr>
            <w:tcW w:w="13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cantSplit/>
          <w:trHeight w:val="328" w:hRule="atLeast"/>
        </w:trPr>
        <w:tc>
          <w:tcPr>
            <w:tcW w:w="61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cantSplit/>
          <w:trHeight w:val="317"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cantSplit/>
          <w:trHeight w:val="317"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cantSplit/>
          <w:trHeight w:val="317"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cantSplit/>
          <w:trHeight w:val="317"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cantSplit/>
          <w:trHeight w:val="317"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cantSplit/>
          <w:trHeight w:val="317"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2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10,475.72</w:t>
            </w:r>
            <w:r>
              <w:rPr>
                <w:rFonts w:ascii="Times New Roman" w:hAnsi="Times New Roman"/>
                <w:b/>
                <w:sz w:val="20"/>
              </w:rPr>
              <w:t xml:space="preserve"> </w:t>
            </w:r>
          </w:p>
        </w:tc>
        <w:tc>
          <w:tcPr>
            <w:tcW w:w="1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9,336.72</w:t>
            </w:r>
            <w:r>
              <w:rPr>
                <w:rFonts w:ascii="Times New Roman" w:hAnsi="Times New Roman"/>
                <w:b/>
                <w:sz w:val="20"/>
              </w:rPr>
              <w:t xml:space="preserve"> </w:t>
            </w:r>
          </w:p>
        </w:tc>
        <w:tc>
          <w:tcPr>
            <w:tcW w:w="11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459.60</w:t>
            </w:r>
            <w:r>
              <w:rPr>
                <w:rFonts w:ascii="Times New Roman" w:hAnsi="Times New Roman"/>
                <w:b/>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459.60</w:t>
            </w:r>
            <w:r>
              <w:rPr>
                <w:rFonts w:ascii="Times New Roman" w:hAnsi="Times New Roman"/>
                <w:b/>
                <w:sz w:val="20"/>
              </w:rPr>
              <w:t xml:space="preserve"> </w:t>
            </w:r>
          </w:p>
        </w:tc>
        <w:tc>
          <w:tcPr>
            <w:tcW w:w="12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679.39</w:t>
            </w:r>
            <w:r>
              <w:rPr>
                <w:rFonts w:ascii="Times New Roman" w:hAnsi="Times New Roman"/>
                <w:b/>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8,016.57</w:t>
            </w:r>
            <w:r>
              <w:rPr>
                <w:rFonts w:ascii="Times New Roman" w:hAnsi="Times New Roman"/>
                <w:b/>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6,877.58</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459.60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459.60</w:t>
            </w:r>
            <w:r>
              <w:rPr>
                <w:rFonts w:ascii="Times New Roman" w:hAnsi="Times New Roman"/>
                <w:b/>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679.39</w:t>
            </w:r>
            <w:r>
              <w:rPr>
                <w:rFonts w:ascii="Times New Roman" w:hAnsi="Times New Roman"/>
                <w:b/>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7,984.93</w:t>
            </w:r>
            <w:r>
              <w:rPr>
                <w:rFonts w:ascii="Times New Roman" w:hAnsi="Times New Roman"/>
                <w:b/>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6,845.94</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459.60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459.60</w:t>
            </w:r>
            <w:r>
              <w:rPr>
                <w:rFonts w:ascii="Times New Roman" w:hAnsi="Times New Roman"/>
                <w:b/>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679.39</w:t>
            </w:r>
            <w:r>
              <w:rPr>
                <w:rFonts w:ascii="Times New Roman" w:hAnsi="Times New Roman"/>
                <w:b/>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3,137.21</w:t>
            </w:r>
            <w:r>
              <w:rPr>
                <w:rFonts w:ascii="Times New Roman" w:hAnsi="Times New Roman"/>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2,772.43</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364.79</w:t>
            </w:r>
            <w:r>
              <w:rPr>
                <w:rFonts w:ascii="Times New Roman" w:hAnsi="Times New Roman"/>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4,847.72</w:t>
            </w:r>
            <w:r>
              <w:rPr>
                <w:rFonts w:ascii="Times New Roman" w:hAnsi="Times New Roman"/>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4,073.51</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459.60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459.60</w:t>
            </w:r>
            <w:r>
              <w:rPr>
                <w:rFonts w:ascii="Times New Roman" w:hAnsi="Times New Roman"/>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314.61</w:t>
            </w:r>
            <w:r>
              <w:rPr>
                <w:rFonts w:ascii="Times New Roman" w:hAnsi="Times New Roman"/>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20507</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特殊教育</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15.00</w:t>
            </w:r>
            <w:r>
              <w:rPr>
                <w:rFonts w:ascii="Times New Roman" w:hAnsi="Times New Roman"/>
                <w:b/>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15.00</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2050701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特殊学校教育</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15.00</w:t>
            </w:r>
            <w:r>
              <w:rPr>
                <w:rFonts w:ascii="Times New Roman" w:hAnsi="Times New Roman"/>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15.00</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16.64</w:t>
            </w:r>
            <w:r>
              <w:rPr>
                <w:rFonts w:ascii="Times New Roman" w:hAnsi="Times New Roman"/>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16.64</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1,685.10</w:t>
            </w:r>
            <w:r>
              <w:rPr>
                <w:rFonts w:ascii="Times New Roman" w:hAnsi="Times New Roman"/>
                <w:b/>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1,685.10</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1,666.11</w:t>
            </w:r>
            <w:r>
              <w:rPr>
                <w:rFonts w:ascii="Times New Roman" w:hAnsi="Times New Roman"/>
                <w:b/>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1,666.11</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874.11</w:t>
            </w:r>
            <w:r>
              <w:rPr>
                <w:rFonts w:ascii="Times New Roman" w:hAnsi="Times New Roman"/>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874.11</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443.78</w:t>
            </w:r>
            <w:r>
              <w:rPr>
                <w:rFonts w:ascii="Times New Roman" w:hAnsi="Times New Roman"/>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443.78</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348.21</w:t>
            </w:r>
            <w:r>
              <w:rPr>
                <w:rFonts w:ascii="Times New Roman" w:hAnsi="Times New Roman"/>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348.21</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18.99</w:t>
            </w:r>
            <w:r>
              <w:rPr>
                <w:rFonts w:ascii="Times New Roman" w:hAnsi="Times New Roman"/>
                <w:b/>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18.99</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18.99</w:t>
            </w:r>
            <w:r>
              <w:rPr>
                <w:rFonts w:ascii="Times New Roman" w:hAnsi="Times New Roman"/>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18.99</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356.36</w:t>
            </w:r>
            <w:r>
              <w:rPr>
                <w:rFonts w:ascii="Times New Roman" w:hAnsi="Times New Roman"/>
                <w:b/>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356.36</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356.36</w:t>
            </w:r>
            <w:r>
              <w:rPr>
                <w:rFonts w:ascii="Times New Roman" w:hAnsi="Times New Roman"/>
                <w:b/>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356.36</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356.36</w:t>
            </w:r>
            <w:r>
              <w:rPr>
                <w:rFonts w:ascii="Times New Roman" w:hAnsi="Times New Roman"/>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356.36</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417.68</w:t>
            </w:r>
            <w:r>
              <w:rPr>
                <w:rFonts w:ascii="Times New Roman" w:hAnsi="Times New Roman"/>
                <w:b/>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417.68</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417.68</w:t>
            </w:r>
            <w:r>
              <w:rPr>
                <w:rFonts w:ascii="Times New Roman" w:hAnsi="Times New Roman"/>
                <w:b/>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417.68</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cantSplit/>
          <w:trHeight w:val="317"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417.68</w:t>
            </w:r>
            <w:r>
              <w:rPr>
                <w:rFonts w:ascii="Times New Roman" w:hAnsi="Times New Roman"/>
                <w:sz w:val="20"/>
              </w:rPr>
              <w:t xml:space="preserve">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417.68</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重庆市垫江实验中学校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17"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17" w:hRule="exac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7"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7"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7"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7"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10,371.12</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9,738.10</w:t>
            </w:r>
            <w:r>
              <w:rPr>
                <w:rFonts w:ascii="Times New Roman" w:hAnsi="Times New Roman"/>
                <w:b/>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633.02</w:t>
            </w:r>
            <w:r>
              <w:rPr>
                <w:rFonts w:ascii="Times New Roman" w:hAnsi="Times New Roman"/>
                <w:b/>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7,911.98</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7,280.12</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631.86</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7,880.34</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7,263.48</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616.86</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3,032.62</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2,708.06</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324.55</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4,847.72</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4,555.41</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292.31</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特殊教育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特殊学校教育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16.64</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16.64</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1,685.10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1,683.94</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1.16</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1,666.11</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1,664.95</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1.16</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874.11</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874.11</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443.78</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443.78</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348.21</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347.05</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1.16</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18.99</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18.99</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18.99</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18.99</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356.36</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356.36</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356.36</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356.36</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356.36</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356.36</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417.68</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417.68</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417.68</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417.68</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417.68</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417.68</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重庆市垫江实验中学校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9,336.72</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6,877.58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6,877.58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1,685.10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1,685.10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356.36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356.36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417.68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417.68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9,336.72</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9,336.72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9,336.72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9,336.72</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9,336.72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9,336.72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重庆市垫江实验中学校</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17" w:hRule="exac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17" w:hRule="exac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17" w:hRule="exac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7" w:hRule="exac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7" w:hRule="exac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9,336.72</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8,712.04</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624.69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6,877.58</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6,254.06</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623.53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6,845.94</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6,237.41</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608.53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2,772.43</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2,451.51</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320.91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4,073.51</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3,785.90</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287.61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特殊教育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15.00</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特殊学校教育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15.00</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16.64</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16.64</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16.64</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1,685.10</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1,683.94</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1,666.11</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1,664.95</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874.11</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874.11</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443.78</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443.78</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348.21</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347.05</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18.99</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18.99</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18.99</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18.99</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356.36</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356.36</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356.36</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356.36</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356.36</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356.36</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417.68</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417.68</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417.68</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417.68</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417.68</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417.68</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604"/>
        <w:gridCol w:w="1033"/>
        <w:gridCol w:w="1698"/>
        <w:gridCol w:w="1370"/>
        <w:gridCol w:w="218"/>
        <w:gridCol w:w="616"/>
        <w:gridCol w:w="1085"/>
        <w:gridCol w:w="830"/>
        <w:gridCol w:w="870"/>
        <w:gridCol w:w="778"/>
        <w:gridCol w:w="806"/>
        <w:gridCol w:w="116"/>
        <w:gridCol w:w="1701"/>
        <w:gridCol w:w="1698"/>
        <w:gridCol w:w="67"/>
        <w:gridCol w:w="1814"/>
        <w:gridCol w:w="18"/>
      </w:tblGrid>
      <w:tr>
        <w:tblPrEx>
          <w:tblLayout w:type="fixed"/>
          <w:tblCellMar>
            <w:top w:w="0" w:type="dxa"/>
            <w:left w:w="0" w:type="dxa"/>
            <w:bottom w:w="0" w:type="dxa"/>
            <w:right w:w="0" w:type="dxa"/>
          </w:tblCellMar>
        </w:tblPrEx>
        <w:trPr>
          <w:gridAfter w:val="1"/>
          <w:wAfter w:w="18" w:type="dxa"/>
          <w:trHeight w:val="90" w:hRule="atLeast"/>
        </w:trPr>
        <w:tc>
          <w:tcPr>
            <w:tcW w:w="15304" w:type="dxa"/>
            <w:gridSpan w:val="16"/>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gridAfter w:val="1"/>
          <w:wAfter w:w="18" w:type="dxa"/>
          <w:trHeight w:val="90" w:hRule="atLeast"/>
        </w:trPr>
        <w:tc>
          <w:tcPr>
            <w:tcW w:w="7454" w:type="dxa"/>
            <w:gridSpan w:val="8"/>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重庆市垫江实验中学校</w:t>
            </w:r>
          </w:p>
        </w:tc>
        <w:tc>
          <w:tcPr>
            <w:tcW w:w="1648"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15" w:type="dxa"/>
            <w:gridSpan w:val="3"/>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1"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gridAfter w:val="1"/>
          <w:wAfter w:w="18" w:type="dxa"/>
          <w:trHeight w:val="90" w:hRule="atLeast"/>
        </w:trPr>
        <w:tc>
          <w:tcPr>
            <w:tcW w:w="7454" w:type="dxa"/>
            <w:gridSpan w:val="8"/>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48"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15" w:type="dxa"/>
            <w:gridSpan w:val="3"/>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1"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gridAfter w:val="1"/>
          <w:wAfter w:w="18" w:type="dxa"/>
          <w:trHeight w:val="90" w:hRule="atLeast"/>
        </w:trPr>
        <w:tc>
          <w:tcPr>
            <w:tcW w:w="470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599" w:type="dxa"/>
            <w:gridSpan w:val="1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gridAfter w:val="1"/>
          <w:wAfter w:w="18" w:type="dxa"/>
          <w:trHeight w:val="312" w:hRule="atLeast"/>
        </w:trPr>
        <w:tc>
          <w:tcPr>
            <w:tcW w:w="6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3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4"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1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4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15"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gridAfter w:val="1"/>
          <w:wAfter w:w="18" w:type="dxa"/>
          <w:trHeight w:val="312" w:hRule="atLeast"/>
        </w:trPr>
        <w:tc>
          <w:tcPr>
            <w:tcW w:w="6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3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4"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1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15"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8,213.83</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132.17</w:t>
            </w: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1,994.78</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65.98</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3,987.99</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874.11</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443.78</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356.36</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10.25</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417.68</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62.88</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366.05</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16.64</w:t>
            </w: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18.99</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270.83</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22.20</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41.02</w:t>
            </w: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54.02</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74.50</w:t>
            </w: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gridAfter w:val="1"/>
          <w:wAfter w:w="18" w:type="dxa"/>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gridAfter w:val="1"/>
          <w:wAfter w:w="18" w:type="dxa"/>
          <w:trHeight w:val="15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gridAfter w:val="1"/>
          <w:wAfter w:w="18" w:type="dxa"/>
          <w:trHeight w:val="310" w:hRule="atLeast"/>
        </w:trPr>
        <w:tc>
          <w:tcPr>
            <w:tcW w:w="333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8,579.87</w:t>
            </w:r>
            <w:r>
              <w:rPr>
                <w:rFonts w:ascii="Times New Roman" w:hAnsi="Times New Roman"/>
                <w:sz w:val="18"/>
              </w:rPr>
              <w:t xml:space="preserve"> </w:t>
            </w:r>
          </w:p>
        </w:tc>
        <w:tc>
          <w:tcPr>
            <w:tcW w:w="8718" w:type="dxa"/>
            <w:gridSpan w:val="10"/>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132.17</w:t>
            </w: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644" w:hRule="atLeast"/>
        </w:trPr>
        <w:tc>
          <w:tcPr>
            <w:tcW w:w="15322" w:type="dxa"/>
            <w:gridSpan w:val="1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4" w:type="dxa"/>
            <w:gridSpan w:val="7"/>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重庆市垫江实验中学校</w:t>
            </w:r>
          </w:p>
        </w:tc>
        <w:tc>
          <w:tcPr>
            <w:tcW w:w="170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2" w:type="dxa"/>
            <w:gridSpan w:val="2"/>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24" w:type="dxa"/>
            <w:gridSpan w:val="7"/>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2" w:type="dxa"/>
            <w:gridSpan w:val="2"/>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0"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0"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0"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23"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3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8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重庆市垫江实验中学校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重庆市垫江实验中学校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5.55</w:t>
            </w: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5.55</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5.55</w:t>
            </w: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5.55</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5.55</w:t>
            </w: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5.55</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27.52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27.52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27.52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27.52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22.22</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1.76</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376A6"/>
    <w:rsid w:val="00070920"/>
    <w:rsid w:val="000C01CC"/>
    <w:rsid w:val="000D7702"/>
    <w:rsid w:val="00261065"/>
    <w:rsid w:val="002D0E5A"/>
    <w:rsid w:val="002E5443"/>
    <w:rsid w:val="0032196C"/>
    <w:rsid w:val="003F7CB1"/>
    <w:rsid w:val="00422634"/>
    <w:rsid w:val="004C12FF"/>
    <w:rsid w:val="00550ABE"/>
    <w:rsid w:val="005B023C"/>
    <w:rsid w:val="00600322"/>
    <w:rsid w:val="006137D7"/>
    <w:rsid w:val="00634FA8"/>
    <w:rsid w:val="0063613A"/>
    <w:rsid w:val="006C66C6"/>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A61E7"/>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0FC4A65"/>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944BA7"/>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DAE1C81"/>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371525"/>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C24FED"/>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9A6255D"/>
    <w:rsid w:val="6AAD2300"/>
    <w:rsid w:val="6ACE04BC"/>
    <w:rsid w:val="6B474EF5"/>
    <w:rsid w:val="6BBF53FD"/>
    <w:rsid w:val="6BD36CB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5B3C56"/>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8505</Words>
  <Characters>11620</Characters>
  <Lines>104</Lines>
  <Paragraphs>29</Paragraphs>
  <TotalTime>1</TotalTime>
  <ScaleCrop>false</ScaleCrop>
  <LinksUpToDate>false</LinksUpToDate>
  <CharactersWithSpaces>12729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2025-09-22T07:41:00Z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6057238DA21F4A17946EA2B3F3A19B8C_13</vt:lpwstr>
  </property>
  <property fmtid="{D5CDD505-2E9C-101B-9397-08002B2CF9AE}" pid="4" name="KSOTemplateDocerSaveRecord">
    <vt:lpwstr>eyJoZGlkIjoiNjM0Zjk5YTc4NjQ1NmYyOGViZjRkNWIzZWJhYTE3YWEiLCJ1c2VySWQiOiIzODk0NTM2OTAifQ==</vt:lpwstr>
  </property>
</Properties>
</file>