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重庆市垫江第一中学校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spacing w:before="0" w:beforeAutospacing="0" w:after="0" w:afterAutospacing="0" w:line="596" w:lineRule="exact"/>
        <w:ind w:firstLine="640" w:firstLineChars="200"/>
        <w:rPr>
          <w:rStyle w:val="10"/>
          <w:rFonts w:hint="default" w:ascii="黑体" w:hAnsi="黑体" w:eastAsia="黑体" w:cs="黑体"/>
          <w:sz w:val="32"/>
          <w:szCs w:val="32"/>
          <w:shd w:val="clear" w:color="auto" w:fill="FFFFFF"/>
        </w:rPr>
      </w:pPr>
      <w:r>
        <w:rPr>
          <w:rFonts w:ascii="方正仿宋_GBK" w:hAnsi="仿宋_GB2312" w:eastAsia="方正仿宋_GBK" w:cs="仿宋_GB2312"/>
          <w:sz w:val="32"/>
          <w:szCs w:val="32"/>
        </w:rPr>
        <w:t>本单位属于为公益一类、全额拨款事业单位，位于垫江县桂溪街道桂西大道北段255号，占地95910.5平方米，校舍70976.13平方米。有104个教学班，有学生5150人，教职工388人，退休职工109人。我校是重庆市重点中学校。</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tabs>
          <w:tab w:val="center" w:pos="4153"/>
          <w:tab w:val="left" w:pos="7275"/>
        </w:tabs>
        <w:spacing w:line="600" w:lineRule="exact"/>
        <w:ind w:firstLine="739" w:firstLineChars="231"/>
        <w:rPr>
          <w:rFonts w:hint="default" w:ascii="方正仿宋_GBK" w:hAnsi="仿宋_GB2312" w:eastAsia="方正仿宋_GBK" w:cs="仿宋_GB2312"/>
          <w:kern w:val="2"/>
          <w:sz w:val="32"/>
          <w:szCs w:val="32"/>
        </w:rPr>
      </w:pPr>
      <w:r>
        <w:rPr>
          <w:rFonts w:ascii="方正仿宋_GBK" w:hAnsi="仿宋_GB2312" w:eastAsia="方正仿宋_GBK" w:cs="仿宋_GB2312"/>
          <w:kern w:val="2"/>
          <w:sz w:val="32"/>
          <w:szCs w:val="32"/>
        </w:rPr>
        <w:t>全面贯彻国家教育方针，培养学生的创新精神与实践能力，使之成为社会主义事业的建设者和接班人。</w:t>
      </w:r>
    </w:p>
    <w:p>
      <w:pPr>
        <w:widowControl w:val="0"/>
        <w:tabs>
          <w:tab w:val="center" w:pos="4153"/>
          <w:tab w:val="left" w:pos="7275"/>
        </w:tabs>
        <w:spacing w:line="600" w:lineRule="exact"/>
        <w:ind w:firstLine="739" w:firstLineChars="231"/>
        <w:rPr>
          <w:rFonts w:hint="default" w:ascii="方正仿宋_GBK" w:hAnsi="仿宋_GB2312" w:eastAsia="方正仿宋_GBK" w:cs="仿宋_GB2312"/>
          <w:kern w:val="2"/>
          <w:sz w:val="32"/>
          <w:szCs w:val="21"/>
        </w:rPr>
      </w:pPr>
      <w:r>
        <w:rPr>
          <w:rFonts w:ascii="方正仿宋_GBK" w:hAnsi="仿宋_GB2312" w:eastAsia="方正仿宋_GBK" w:cs="仿宋_GB2312"/>
          <w:kern w:val="2"/>
          <w:sz w:val="32"/>
          <w:szCs w:val="21"/>
        </w:rPr>
        <w:t>1. 实施高中和初中基础教育；实施高中阶段教育，适龄青少年义务教育，全面推进素质教育；负责学校卫生、安全、稳定，学校经费与校产管理，师资队伍建设，制定本区域教育发展规划。</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仿宋_GB2312" w:eastAsia="方正仿宋_GBK" w:cs="仿宋_GB2312"/>
          <w:kern w:val="2"/>
          <w:sz w:val="32"/>
          <w:szCs w:val="21"/>
        </w:rPr>
        <w:t>2. 受县教育行政部门委托，做好党的教育方针及教育法规贯彻落实，全面推进素质教育。负责学校教育教学、教育科研、师资队伍、学校经费收支与校产管理与指导；负责教育统计；负责落实其他工作。协助所在乡镇人民政府做好适龄青少年依法接受义务教育的工作。</w:t>
      </w:r>
    </w:p>
    <w:p>
      <w:pPr>
        <w:pStyle w:val="6"/>
        <w:shd w:val="clear" w:color="auto" w:fill="FFFFFF"/>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640" w:firstLineChars="200"/>
        <w:rPr>
          <w:rFonts w:hint="default" w:ascii="方正仿宋_GBK" w:hAnsi="仿宋_GB2312" w:eastAsia="方正仿宋_GBK" w:cs="仿宋_GB2312"/>
          <w:kern w:val="2"/>
          <w:sz w:val="32"/>
          <w:szCs w:val="21"/>
        </w:rPr>
      </w:pPr>
      <w:r>
        <w:rPr>
          <w:rFonts w:ascii="方正仿宋_GBK" w:hAnsi="仿宋_GB2312" w:eastAsia="方正仿宋_GBK" w:cs="仿宋_GB2312"/>
          <w:kern w:val="2"/>
          <w:sz w:val="32"/>
          <w:szCs w:val="21"/>
        </w:rPr>
        <w:t>我校设有办公室、德育处、安稳办、教务处、教科处、后勤处、团委、工会以及党总支、文科支部、理科支部、后勤支部。</w:t>
      </w:r>
    </w:p>
    <w:p>
      <w:pPr>
        <w:pStyle w:val="6"/>
        <w:shd w:val="clear" w:color="auto" w:fill="FFFFFF"/>
        <w:spacing w:before="0" w:beforeAutospacing="0" w:after="0" w:afterAutospacing="0" w:line="596" w:lineRule="exact"/>
        <w:ind w:firstLine="643" w:firstLineChars="200"/>
        <w:rPr>
          <w:rFonts w:hint="default"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2024年度收入总计12807.87万元，支出总计</w:t>
      </w:r>
      <w:r>
        <w:rPr>
          <w:rFonts w:ascii="方正仿宋_GBK" w:hAnsi="方正仿宋_GBK" w:eastAsia="方正仿宋_GBK" w:cs="方正仿宋_GBK"/>
          <w:sz w:val="32"/>
          <w:szCs w:val="32"/>
        </w:rPr>
        <w:t>12807.87</w:t>
      </w:r>
      <w:r>
        <w:rPr>
          <w:rFonts w:ascii="方正仿宋_GBK" w:hAnsi="方正仿宋_GBK" w:eastAsia="方正仿宋_GBK" w:cs="方正仿宋_GBK"/>
          <w:sz w:val="32"/>
          <w:szCs w:val="32"/>
          <w:shd w:val="clear" w:color="auto" w:fill="FFFFFF"/>
        </w:rPr>
        <w:t>万元。收、支与2023年度相比，增加1662.11万元，增长14.91%，</w:t>
      </w:r>
      <w:r>
        <w:rPr>
          <w:rFonts w:ascii="Times New Roman" w:hAnsi="Times New Roman" w:eastAsia="方正仿宋_GBK"/>
          <w:sz w:val="32"/>
          <w:szCs w:val="32"/>
        </w:rPr>
        <w:t>主要原因是清算健康休养费和学生宿舍维修项目资金，支出增加，收支平衡，以收定支，严格按预算执行，202</w:t>
      </w:r>
      <w:r>
        <w:rPr>
          <w:rFonts w:hint="default" w:ascii="Times New Roman" w:hAnsi="Times New Roman" w:eastAsia="方正仿宋_GBK"/>
          <w:sz w:val="32"/>
          <w:szCs w:val="32"/>
        </w:rPr>
        <w:t>4</w:t>
      </w:r>
      <w:r>
        <w:rPr>
          <w:rFonts w:ascii="Times New Roman" w:hAnsi="Times New Roman" w:eastAsia="方正仿宋_GBK"/>
          <w:sz w:val="32"/>
          <w:szCs w:val="32"/>
        </w:rPr>
        <w:t>年结转结余0.00万元。</w:t>
      </w:r>
    </w:p>
    <w:p>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2024年度收入合计12677.56万元，与2023年度相比，增加1549.97万元，增长13.93%，主要原因是</w:t>
      </w:r>
      <w:r>
        <w:rPr>
          <w:rFonts w:ascii="Times New Roman" w:hAnsi="Times New Roman" w:eastAsia="方正仿宋_GBK"/>
          <w:sz w:val="32"/>
          <w:szCs w:val="32"/>
        </w:rPr>
        <w:t>清算健康休养费和学生宿舍维修项目资金，人员经费中超额绩效拨款增加，返还历年上缴事业收入统筹费，事业收入增加。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11604.31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91.53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551.11</w:t>
      </w:r>
      <w:r>
        <w:rPr>
          <w:rFonts w:ascii="方正仿宋_GBK" w:hAnsi="方正仿宋_GBK" w:eastAsia="方正仿宋_GBK" w:cs="方正仿宋_GBK"/>
          <w:sz w:val="32"/>
          <w:szCs w:val="32"/>
          <w:shd w:val="clear" w:color="auto" w:fill="FFFFFF"/>
        </w:rPr>
        <w:t>万元，占4.35%；经营收入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522.15</w:t>
      </w:r>
      <w:r>
        <w:rPr>
          <w:rFonts w:ascii="方正仿宋_GBK" w:hAnsi="方正仿宋_GBK" w:eastAsia="方正仿宋_GBK" w:cs="方正仿宋_GBK"/>
          <w:sz w:val="32"/>
          <w:szCs w:val="32"/>
          <w:shd w:val="clear" w:color="auto" w:fill="FFFFFF"/>
        </w:rPr>
        <w:t>万元，占4.12%。此外，使用非财政拨款结余和专用结余</w:t>
      </w:r>
      <w:r>
        <w:rPr>
          <w:rFonts w:ascii="方正仿宋_GBK" w:hAnsi="方正仿宋_GBK" w:eastAsia="方正仿宋_GBK" w:cs="方正仿宋_GBK"/>
          <w:sz w:val="32"/>
          <w:szCs w:val="32"/>
        </w:rPr>
        <w:t>130.31</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12681.74</w:t>
      </w:r>
      <w:r>
        <w:rPr>
          <w:rFonts w:ascii="方正仿宋_GBK" w:hAnsi="方正仿宋_GBK" w:eastAsia="方正仿宋_GBK" w:cs="方正仿宋_GBK"/>
          <w:sz w:val="32"/>
          <w:szCs w:val="32"/>
          <w:shd w:val="clear" w:color="auto" w:fill="FFFFFF"/>
        </w:rPr>
        <w:t>万元，与2023年度相比，增加1743.33万元，增长15.94%，主要原因是</w:t>
      </w:r>
      <w:r>
        <w:rPr>
          <w:rFonts w:ascii="Times New Roman" w:hAnsi="Times New Roman" w:eastAsia="方正仿宋_GBK"/>
          <w:sz w:val="32"/>
          <w:szCs w:val="32"/>
        </w:rPr>
        <w:t>清算健康休养费和学生宿舍维修项目资金。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9493.53</w:t>
      </w:r>
      <w:r>
        <w:rPr>
          <w:rFonts w:ascii="方正仿宋_GBK" w:hAnsi="方正仿宋_GBK" w:eastAsia="方正仿宋_GBK" w:cs="方正仿宋_GBK"/>
          <w:sz w:val="32"/>
          <w:szCs w:val="32"/>
          <w:shd w:val="clear" w:color="auto" w:fill="FFFFFF"/>
        </w:rPr>
        <w:t>万元，占74.86%；项目支出</w:t>
      </w:r>
      <w:r>
        <w:rPr>
          <w:rFonts w:ascii="方正仿宋_GBK" w:hAnsi="方正仿宋_GBK" w:eastAsia="方正仿宋_GBK" w:cs="方正仿宋_GBK"/>
          <w:sz w:val="32"/>
          <w:szCs w:val="32"/>
        </w:rPr>
        <w:t>3188.21</w:t>
      </w:r>
      <w:r>
        <w:rPr>
          <w:rFonts w:ascii="方正仿宋_GBK" w:hAnsi="方正仿宋_GBK" w:eastAsia="方正仿宋_GBK" w:cs="方正仿宋_GBK"/>
          <w:sz w:val="32"/>
          <w:szCs w:val="32"/>
          <w:shd w:val="clear" w:color="auto" w:fill="FFFFFF"/>
        </w:rPr>
        <w:t>万元，占25.14%；经营支出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126.13</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rPr>
        <w:t>收支保持平衡，以收定支，严格按预算执行，厉行节约。</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2024年度财政拨款收、支总计11604.31万元。与2023年相比，财政拨款收、支总计各增加1815.06万元，增长18.54%。主要原因是</w:t>
      </w:r>
      <w:r>
        <w:rPr>
          <w:rFonts w:ascii="Times New Roman" w:hAnsi="Times New Roman" w:eastAsia="方正仿宋_GBK"/>
          <w:sz w:val="32"/>
          <w:szCs w:val="32"/>
        </w:rPr>
        <w:t>清算健康休养费和学生宿舍维修项目资金。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9102.16</w:t>
      </w:r>
      <w:r>
        <w:rPr>
          <w:rFonts w:ascii="方正仿宋_GBK" w:hAnsi="方正仿宋_GBK" w:eastAsia="方正仿宋_GBK" w:cs="方正仿宋_GBK"/>
          <w:sz w:val="32"/>
          <w:szCs w:val="32"/>
          <w:shd w:val="clear" w:color="auto" w:fill="FFFFFF"/>
        </w:rPr>
        <w:t>万元，与2023年度相比，减少687.09万元，下降7.02%。主要原因是</w:t>
      </w:r>
      <w:r>
        <w:rPr>
          <w:rFonts w:hint="default" w:ascii="方正仿宋_GBK" w:hAnsi="方正仿宋_GBK"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年清算了在职人员的</w:t>
      </w:r>
      <w:r>
        <w:rPr>
          <w:rFonts w:hint="eastAsia" w:ascii="方正仿宋_GBK" w:hAnsi="方正仿宋_GBK" w:eastAsia="方正仿宋_GBK" w:cs="方正仿宋_GBK"/>
          <w:sz w:val="32"/>
          <w:szCs w:val="32"/>
          <w:shd w:val="clear" w:color="auto" w:fill="FFFFFF"/>
          <w:lang w:val="en-US" w:eastAsia="zh-CN"/>
        </w:rPr>
        <w:t>超</w:t>
      </w:r>
      <w:r>
        <w:rPr>
          <w:rFonts w:ascii="方正仿宋_GBK" w:hAnsi="方正仿宋_GBK" w:eastAsia="方正仿宋_GBK" w:cs="方正仿宋_GBK"/>
          <w:sz w:val="32"/>
          <w:szCs w:val="32"/>
          <w:shd w:val="clear" w:color="auto" w:fill="FFFFFF"/>
        </w:rPr>
        <w:t>额绩效工资。较年初预算数增加1142.68万元，增长14.36%。主要原因是</w:t>
      </w:r>
      <w:r>
        <w:rPr>
          <w:rFonts w:ascii="Times New Roman" w:hAnsi="Times New Roman" w:eastAsia="方正仿宋_GBK"/>
          <w:sz w:val="32"/>
          <w:szCs w:val="32"/>
        </w:rPr>
        <w:t>清算健康休养费和学生宿舍维修项目资金。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9102.16</w:t>
      </w:r>
      <w:r>
        <w:rPr>
          <w:rFonts w:ascii="方正仿宋_GBK" w:hAnsi="方正仿宋_GBK" w:eastAsia="方正仿宋_GBK" w:cs="方正仿宋_GBK"/>
          <w:sz w:val="32"/>
          <w:szCs w:val="32"/>
          <w:shd w:val="clear" w:color="auto" w:fill="FFFFFF"/>
        </w:rPr>
        <w:t>万元，与2023年度相比，减少687.09万元，下降7.02%。主要原因是</w:t>
      </w:r>
      <w:r>
        <w:rPr>
          <w:rFonts w:hint="default" w:ascii="方正仿宋_GBK" w:hAnsi="方正仿宋_GBK"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年清算了在职人员的</w:t>
      </w:r>
      <w:r>
        <w:rPr>
          <w:rFonts w:hint="eastAsia" w:ascii="方正仿宋_GBK" w:hAnsi="方正仿宋_GBK" w:eastAsia="方正仿宋_GBK" w:cs="方正仿宋_GBK"/>
          <w:sz w:val="32"/>
          <w:szCs w:val="32"/>
          <w:shd w:val="clear" w:color="auto" w:fill="FFFFFF"/>
          <w:lang w:val="en-US" w:eastAsia="zh-CN"/>
        </w:rPr>
        <w:t>超</w:t>
      </w:r>
      <w:r>
        <w:rPr>
          <w:rFonts w:ascii="方正仿宋_GBK" w:hAnsi="方正仿宋_GBK" w:eastAsia="方正仿宋_GBK" w:cs="方正仿宋_GBK"/>
          <w:sz w:val="32"/>
          <w:szCs w:val="32"/>
          <w:shd w:val="clear" w:color="auto" w:fill="FFFFFF"/>
        </w:rPr>
        <w:t>额绩效工资。较年初预算数增加1142.68万元，增长14.36%。主要原因是</w:t>
      </w:r>
      <w:r>
        <w:rPr>
          <w:rFonts w:ascii="Times New Roman" w:hAnsi="Times New Roman" w:eastAsia="方正仿宋_GBK"/>
          <w:sz w:val="32"/>
          <w:szCs w:val="32"/>
        </w:rPr>
        <w:t>清算健康休养费和学生宿舍维修项目资金。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w:t>
      </w:r>
      <w:r>
        <w:rPr>
          <w:rFonts w:hint="eastAsia" w:ascii="方正仿宋_GBK" w:hAnsi="方正仿宋_GBK" w:eastAsia="方正仿宋_GBK" w:cs="方正仿宋_GBK"/>
          <w:sz w:val="32"/>
          <w:szCs w:val="32"/>
          <w:shd w:val="clear" w:color="auto" w:fill="FFFFFF"/>
          <w:lang w:eastAsia="zh-CN"/>
        </w:rPr>
        <w:t>未有</w:t>
      </w:r>
      <w:r>
        <w:rPr>
          <w:rFonts w:ascii="方正仿宋_GBK" w:hAnsi="方正仿宋_GBK" w:eastAsia="方正仿宋_GBK" w:cs="方正仿宋_GBK"/>
          <w:sz w:val="32"/>
          <w:szCs w:val="32"/>
          <w:shd w:val="clear" w:color="auto" w:fill="FFFFFF"/>
        </w:rPr>
        <w:t>结转结余。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6766.57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74.34</w:t>
      </w:r>
      <w:r>
        <w:rPr>
          <w:rFonts w:ascii="方正仿宋_GBK" w:hAnsi="方正仿宋_GBK" w:eastAsia="方正仿宋_GBK" w:cs="方正仿宋_GBK"/>
          <w:sz w:val="32"/>
          <w:szCs w:val="32"/>
          <w:shd w:val="clear" w:color="auto" w:fill="FFFFFF"/>
        </w:rPr>
        <w:t>%，较年初预算数增加673.79万元，增长11.06%，主要原因是</w:t>
      </w:r>
      <w:r>
        <w:rPr>
          <w:rFonts w:ascii="Times New Roman" w:hAnsi="Times New Roman" w:eastAsia="方正仿宋_GBK"/>
          <w:sz w:val="32"/>
          <w:szCs w:val="32"/>
        </w:rPr>
        <w:t>事业人员工资、绩效、社保等费用追加。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1627.49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17.88</w:t>
      </w:r>
      <w:r>
        <w:rPr>
          <w:rFonts w:ascii="方正仿宋_GBK" w:hAnsi="方正仿宋_GBK" w:eastAsia="方正仿宋_GBK" w:cs="方正仿宋_GBK"/>
          <w:sz w:val="32"/>
          <w:szCs w:val="32"/>
          <w:shd w:val="clear" w:color="auto" w:fill="FFFFFF"/>
        </w:rPr>
        <w:t>%，较年初预算数增加504.47万元，增长44.92%，主要原因是</w:t>
      </w:r>
      <w:r>
        <w:rPr>
          <w:rFonts w:ascii="Times New Roman" w:hAnsi="Times New Roman" w:eastAsia="方正仿宋_GBK"/>
          <w:sz w:val="32"/>
          <w:szCs w:val="32"/>
        </w:rPr>
        <w:t>收支平衡，以收定支，严格按预算执行。</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307.16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3.37</w:t>
      </w:r>
      <w:r>
        <w:rPr>
          <w:rFonts w:ascii="方正仿宋_GBK" w:hAnsi="方正仿宋_GBK" w:eastAsia="方正仿宋_GBK" w:cs="方正仿宋_GBK"/>
          <w:sz w:val="32"/>
          <w:szCs w:val="32"/>
          <w:shd w:val="clear" w:color="auto" w:fill="FFFFFF"/>
        </w:rPr>
        <w:t>%，较年初预算数减少30.87万元，下降9.13%，主要原因是本年预算执行中将超额绩效纳入养老保险和职业年金基数增加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住房保障支出400.95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4.40</w:t>
      </w:r>
      <w:r>
        <w:rPr>
          <w:rFonts w:ascii="方正仿宋_GBK" w:hAnsi="方正仿宋_GBK" w:eastAsia="方正仿宋_GBK" w:cs="方正仿宋_GBK"/>
          <w:sz w:val="32"/>
          <w:szCs w:val="32"/>
          <w:shd w:val="clear" w:color="auto" w:fill="FFFFFF"/>
        </w:rPr>
        <w:t>%，较年初预算数减少4.69万元，下降1.16%，主要原因是</w:t>
      </w:r>
      <w:r>
        <w:rPr>
          <w:rFonts w:ascii="Times New Roman" w:hAnsi="Times New Roman" w:eastAsia="方正仿宋_GBK"/>
          <w:sz w:val="32"/>
          <w:szCs w:val="32"/>
        </w:rPr>
        <w:t>以收定支，严格按预算执行。</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8428.33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8298.44</w:t>
      </w:r>
      <w:r>
        <w:rPr>
          <w:rFonts w:ascii="方正仿宋_GBK" w:hAnsi="方正仿宋_GBK" w:eastAsia="方正仿宋_GBK" w:cs="方正仿宋_GBK"/>
          <w:sz w:val="32"/>
          <w:szCs w:val="32"/>
          <w:shd w:val="clear" w:color="auto" w:fill="FFFFFF"/>
        </w:rPr>
        <w:t>万元，与2023年度相比，减少695.09万元，下降7.73%，主要原因是教职工正常晋升、岗位职级变化和教师人数增加。人员经费用途主要包括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129.89</w:t>
      </w:r>
      <w:r>
        <w:rPr>
          <w:rFonts w:ascii="方正仿宋_GBK" w:hAnsi="方正仿宋_GBK" w:eastAsia="方正仿宋_GBK" w:cs="方正仿宋_GBK"/>
          <w:sz w:val="32"/>
          <w:szCs w:val="32"/>
          <w:shd w:val="clear" w:color="auto" w:fill="FFFFFF"/>
        </w:rPr>
        <w:t>万元，与2023年度相比，减少12.43万元，下降8.73%，主要原因是工会经费、培训费、福利费的预算基数减少。公用经费用途主要包括</w:t>
      </w:r>
      <w:r>
        <w:rPr>
          <w:rFonts w:ascii="Times New Roman" w:hAnsi="Times New Roman" w:eastAsia="方正仿宋_GBK"/>
          <w:sz w:val="32"/>
          <w:szCs w:val="32"/>
        </w:rPr>
        <w:t>党建、维修维护、水电办公等维持学校正常运行方面。</w:t>
      </w:r>
    </w:p>
    <w:p>
      <w:pPr>
        <w:pStyle w:val="6"/>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2502.15</w:t>
      </w:r>
      <w:r>
        <w:rPr>
          <w:rFonts w:ascii="方正仿宋_GBK" w:hAnsi="方正仿宋_GBK" w:eastAsia="方正仿宋_GBK" w:cs="方正仿宋_GBK"/>
          <w:sz w:val="32"/>
          <w:szCs w:val="32"/>
          <w:shd w:val="clear" w:color="auto" w:fill="FFFFFF"/>
        </w:rPr>
        <w:t>万元，与2023年度相比，增加2502.15万元，增长100.00%，主要原因是超长期</w:t>
      </w:r>
      <w:r>
        <w:rPr>
          <w:rFonts w:hint="eastAsia" w:ascii="方正仿宋_GBK" w:hAnsi="方正仿宋_GBK" w:eastAsia="方正仿宋_GBK" w:cs="方正仿宋_GBK"/>
          <w:sz w:val="32"/>
          <w:szCs w:val="32"/>
          <w:shd w:val="clear" w:color="auto" w:fill="FFFFFF"/>
          <w:lang w:val="en-US" w:eastAsia="zh-CN"/>
        </w:rPr>
        <w:t>特</w:t>
      </w:r>
      <w:r>
        <w:rPr>
          <w:rFonts w:ascii="方正仿宋_GBK" w:hAnsi="方正仿宋_GBK" w:eastAsia="方正仿宋_GBK" w:cs="方正仿宋_GBK"/>
          <w:sz w:val="32"/>
          <w:szCs w:val="32"/>
          <w:shd w:val="clear" w:color="auto" w:fill="FFFFFF"/>
        </w:rPr>
        <w:t>别国债和其他国有土地使用权</w:t>
      </w:r>
      <w:r>
        <w:rPr>
          <w:rFonts w:hint="eastAsia" w:ascii="方正仿宋_GBK" w:hAnsi="方正仿宋_GBK" w:eastAsia="方正仿宋_GBK" w:cs="方正仿宋_GBK"/>
          <w:sz w:val="32"/>
          <w:szCs w:val="32"/>
          <w:shd w:val="clear" w:color="auto" w:fill="FFFFFF"/>
          <w:lang w:val="en-US" w:eastAsia="zh-CN"/>
        </w:rPr>
        <w:t>出</w:t>
      </w:r>
      <w:r>
        <w:rPr>
          <w:rFonts w:ascii="方正仿宋_GBK" w:hAnsi="方正仿宋_GBK" w:eastAsia="方正仿宋_GBK" w:cs="方正仿宋_GBK"/>
          <w:sz w:val="32"/>
          <w:szCs w:val="32"/>
          <w:shd w:val="clear" w:color="auto" w:fill="FFFFFF"/>
        </w:rPr>
        <w:t>让收入安排的资金增加。本年支出</w:t>
      </w:r>
      <w:r>
        <w:rPr>
          <w:rFonts w:ascii="方正仿宋_GBK" w:hAnsi="方正仿宋_GBK" w:eastAsia="方正仿宋_GBK" w:cs="方正仿宋_GBK"/>
          <w:sz w:val="32"/>
          <w:szCs w:val="32"/>
        </w:rPr>
        <w:t>2502.15</w:t>
      </w:r>
      <w:r>
        <w:rPr>
          <w:rFonts w:ascii="方正仿宋_GBK" w:hAnsi="方正仿宋_GBK" w:eastAsia="方正仿宋_GBK" w:cs="方正仿宋_GBK"/>
          <w:sz w:val="32"/>
          <w:szCs w:val="32"/>
          <w:shd w:val="clear" w:color="auto" w:fill="FFFFFF"/>
        </w:rPr>
        <w:t>万元，与2023年度相比，增加2502.15万元，增长100.00%，主要原因是超长期贴别国债和其他国有土地使用权</w:t>
      </w:r>
      <w:r>
        <w:rPr>
          <w:rFonts w:hint="eastAsia" w:ascii="方正仿宋_GBK" w:hAnsi="方正仿宋_GBK" w:eastAsia="方正仿宋_GBK" w:cs="方正仿宋_GBK"/>
          <w:sz w:val="32"/>
          <w:szCs w:val="32"/>
          <w:shd w:val="clear" w:color="auto" w:fill="FFFFFF"/>
          <w:lang w:val="en-US" w:eastAsia="zh-CN"/>
        </w:rPr>
        <w:t>出</w:t>
      </w:r>
      <w:bookmarkStart w:id="0" w:name="_GoBack"/>
      <w:bookmarkEnd w:id="0"/>
      <w:r>
        <w:rPr>
          <w:rFonts w:ascii="方正仿宋_GBK" w:hAnsi="方正仿宋_GBK" w:eastAsia="方正仿宋_GBK" w:cs="方正仿宋_GBK"/>
          <w:sz w:val="32"/>
          <w:szCs w:val="32"/>
          <w:shd w:val="clear" w:color="auto" w:fill="FFFFFF"/>
        </w:rPr>
        <w:t>让收入安排的资金增加。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pStyle w:val="6"/>
        <w:snapToGrid w:val="0"/>
        <w:spacing w:before="0" w:beforeAutospacing="0" w:after="0" w:afterAutospacing="0" w:line="600" w:lineRule="exact"/>
        <w:ind w:firstLine="643"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Times New Roman" w:eastAsia="方正仿宋_GBK" w:cs="方正仿宋_GBK"/>
          <w:sz w:val="32"/>
          <w:szCs w:val="32"/>
        </w:rPr>
        <w:t>年初预算数未安排“三公”经费支出。</w:t>
      </w:r>
      <w:r>
        <w:rPr>
          <w:rFonts w:ascii="方正仿宋_GBK" w:hAnsi="方正仿宋_GBK" w:eastAsia="方正仿宋_GBK" w:cs="方正仿宋_GBK"/>
          <w:sz w:val="32"/>
          <w:szCs w:val="32"/>
          <w:shd w:val="clear" w:color="auto" w:fill="FFFFFF"/>
        </w:rPr>
        <w:t>较上年支出数无增减，主要原因是上年和今年均</w:t>
      </w:r>
      <w:r>
        <w:rPr>
          <w:rFonts w:ascii="方正仿宋_GBK" w:hAnsi="Times New Roman" w:eastAsia="方正仿宋_GBK" w:cs="方正仿宋_GBK"/>
          <w:sz w:val="32"/>
          <w:szCs w:val="32"/>
        </w:rPr>
        <w:t>未发生“三公”经费支出。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车运行维护费0.00万元。费用支出较年初预算数无增减，主要原因是年初预算未安排且本年未发生公务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eastAsia="方正仿宋_GBK"/>
          <w:sz w:val="32"/>
          <w:szCs w:val="32"/>
        </w:rPr>
        <w:t>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33.00</w:t>
      </w:r>
      <w:r>
        <w:rPr>
          <w:rFonts w:ascii="方正仿宋_GBK" w:hAnsi="方正仿宋_GBK" w:eastAsia="方正仿宋_GBK" w:cs="方正仿宋_GBK"/>
          <w:sz w:val="32"/>
          <w:szCs w:val="32"/>
          <w:shd w:val="clear" w:color="auto" w:fill="FFFFFF"/>
        </w:rPr>
        <w:t>万元，与2023年度相比，增加0.11万元，增长0.33%，主要原因是学校加大了师资队伍的建设和培训</w:t>
      </w:r>
      <w:r>
        <w:rPr>
          <w:rFonts w:hint="default" w:ascii="方正仿宋_GBK" w:hAnsi="方正仿宋_GBK" w:eastAsia="方正仿宋_GBK" w:cs="方正仿宋_GBK"/>
          <w:sz w:val="32"/>
          <w:szCs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652.45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652.45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648.00万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99.32</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608.45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93.26</w:t>
      </w:r>
      <w:r>
        <w:rPr>
          <w:rFonts w:ascii="方正仿宋_GBK" w:hAnsi="方正仿宋_GBK" w:eastAsia="方正仿宋_GBK" w:cs="方正仿宋_GBK"/>
          <w:sz w:val="32"/>
          <w:szCs w:val="32"/>
          <w:shd w:val="clear" w:color="auto" w:fill="FFFFFF"/>
        </w:rPr>
        <w:t xml:space="preserve"> %。主要用于采购教学用设备和学生课桌椅。</w:t>
      </w:r>
    </w:p>
    <w:p>
      <w:pPr>
        <w:pStyle w:val="6"/>
        <w:snapToGrid w:val="0"/>
        <w:spacing w:before="0" w:beforeAutospacing="0" w:after="0" w:afterAutospacing="0" w:line="600" w:lineRule="exact"/>
        <w:ind w:firstLine="643"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wordWrap w:val="0"/>
        <w:ind w:firstLine="640" w:firstLineChars="200"/>
        <w:textAlignment w:val="center"/>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根据预算绩效管理要求，根据预算绩效管理要求，我单位对23个二级项目开展了绩效自评，涉及财政拨款项目支出资金</w:t>
      </w:r>
      <w:r>
        <w:rPr>
          <w:rFonts w:hint="default" w:ascii="方正仿宋_GBK" w:hAnsi="方正仿宋_GBK" w:eastAsia="方正仿宋_GBK" w:cs="方正仿宋_GBK"/>
          <w:sz w:val="32"/>
          <w:szCs w:val="32"/>
          <w:shd w:val="clear" w:color="auto" w:fill="FFFFFF"/>
        </w:rPr>
        <w:t>673.83</w:t>
      </w:r>
      <w:r>
        <w:rPr>
          <w:rFonts w:ascii="方正仿宋_GBK" w:hAnsi="方正仿宋_GBK" w:eastAsia="方正仿宋_GBK" w:cs="方正仿宋_GBK"/>
          <w:sz w:val="32"/>
          <w:szCs w:val="32"/>
          <w:shd w:val="clear" w:color="auto" w:fill="FFFFFF"/>
        </w:rPr>
        <w:t xml:space="preserve"> 万元。</w:t>
      </w:r>
    </w:p>
    <w:p>
      <w:pPr>
        <w:wordWrap w:val="0"/>
        <w:ind w:firstLine="640" w:firstLineChars="200"/>
        <w:textAlignment w:val="center"/>
        <w:rPr>
          <w:rFonts w:hint="default" w:ascii="方正仿宋_GBK" w:hAnsi="方正仿宋_GBK" w:eastAsia="方正仿宋_GBK" w:cs="方正仿宋_GBK"/>
          <w:sz w:val="32"/>
          <w:szCs w:val="32"/>
          <w:shd w:val="clear" w:color="auto" w:fill="FFFFFF"/>
        </w:rPr>
      </w:pPr>
    </w:p>
    <w:p>
      <w:pPr>
        <w:wordWrap w:val="0"/>
        <w:ind w:firstLine="640" w:firstLineChars="200"/>
        <w:textAlignment w:val="center"/>
        <w:rPr>
          <w:rFonts w:hint="default" w:ascii="方正仿宋_GBK" w:hAnsi="方正仿宋_GBK" w:eastAsia="方正仿宋_GBK" w:cs="方正仿宋_GBK"/>
          <w:sz w:val="32"/>
          <w:szCs w:val="32"/>
          <w:shd w:val="clear" w:color="auto" w:fill="FFFFFF"/>
        </w:rPr>
      </w:pPr>
    </w:p>
    <w:p>
      <w:pPr>
        <w:wordWrap w:val="0"/>
        <w:ind w:firstLine="640" w:firstLineChars="200"/>
        <w:textAlignment w:val="center"/>
        <w:rPr>
          <w:rFonts w:hint="default"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pPr>
        <w:wordWrap w:val="0"/>
        <w:textAlignment w:val="center"/>
        <w:rPr>
          <w:rFonts w:hint="default" w:ascii="方正仿宋_GBK" w:hAnsi="方正仿宋_GBK" w:eastAsia="方正仿宋_GBK" w:cs="方正仿宋_GBK"/>
          <w:sz w:val="32"/>
          <w:szCs w:val="32"/>
          <w:shd w:val="clear" w:color="auto" w:fill="FFFFFF"/>
        </w:rPr>
        <w:sectPr>
          <w:pgSz w:w="11915" w:h="16840"/>
          <w:pgMar w:top="1440" w:right="1800" w:bottom="1440" w:left="1800" w:header="851" w:footer="992" w:gutter="0"/>
          <w:pgNumType w:fmt="numberInDash"/>
          <w:cols w:space="720" w:num="1"/>
          <w:docGrid w:type="lines" w:linePitch="326" w:charSpace="0"/>
        </w:sectPr>
      </w:pPr>
      <w:r>
        <w:drawing>
          <wp:inline distT="0" distB="0" distL="114300" distR="114300">
            <wp:extent cx="5866765" cy="5070475"/>
            <wp:effectExtent l="0" t="0" r="63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866765" cy="5070475"/>
                    </a:xfrm>
                    <a:prstGeom prst="rect">
                      <a:avLst/>
                    </a:prstGeom>
                    <a:noFill/>
                    <a:ln>
                      <a:noFill/>
                    </a:ln>
                  </pic:spPr>
                </pic:pic>
              </a:graphicData>
            </a:graphic>
          </wp:inline>
        </w:drawing>
      </w:r>
    </w:p>
    <w:p>
      <w:pPr>
        <w:pStyle w:val="12"/>
        <w:autoSpaceDE w:val="0"/>
        <w:spacing w:before="0" w:beforeAutospacing="0" w:after="0" w:afterAutospacing="0" w:line="596" w:lineRule="exact"/>
        <w:rPr>
          <w:rFonts w:ascii="楷体" w:hAnsi="楷体" w:eastAsia="楷体" w:cs="楷体"/>
          <w:b/>
          <w:bCs/>
          <w:sz w:val="32"/>
          <w:szCs w:val="32"/>
          <w:shd w:val="clear" w:color="auto" w:fill="FFFFFF"/>
        </w:rPr>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115570</wp:posOffset>
            </wp:positionV>
            <wp:extent cx="6141720" cy="4615180"/>
            <wp:effectExtent l="0" t="0" r="190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6141720" cy="4615180"/>
                    </a:xfrm>
                    <a:prstGeom prst="rect">
                      <a:avLst/>
                    </a:prstGeom>
                    <a:noFill/>
                    <a:ln>
                      <a:noFill/>
                    </a:ln>
                  </pic:spPr>
                </pic:pic>
              </a:graphicData>
            </a:graphic>
          </wp:anchor>
        </w:drawing>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sectPr>
          <w:pgSz w:w="11915" w:h="16840"/>
          <w:pgMar w:top="1440" w:right="1800" w:bottom="1440" w:left="1800" w:header="851" w:footer="992" w:gutter="0"/>
          <w:pgNumType w:fmt="numberInDash"/>
          <w:cols w:space="720" w:num="1"/>
          <w:docGrid w:type="lines" w:linePitch="326" w:charSpace="0"/>
        </w:sect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pPr>
        <w:pStyle w:val="16"/>
        <w:autoSpaceDE w:val="0"/>
        <w:spacing w:line="596" w:lineRule="exact"/>
        <w:ind w:firstLine="640"/>
        <w:rPr>
          <w:rFonts w:hint="default" w:ascii="方正仿宋_GBK" w:eastAsia="方正仿宋_GBK"/>
          <w:sz w:val="32"/>
          <w:szCs w:val="32"/>
          <w:shd w:val="clear" w:color="auto" w:fill="FFFFFF"/>
        </w:rPr>
      </w:pPr>
      <w:r>
        <w:rPr>
          <w:rFonts w:ascii="方正仿宋_GBK" w:eastAsia="方正仿宋_GBK"/>
          <w:sz w:val="32"/>
          <w:szCs w:val="32"/>
          <w:shd w:val="clear" w:color="auto" w:fill="FFFFFF"/>
        </w:rPr>
        <w:t>我单位未组织开展绩效评价。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联系人：刘老师   </w:t>
      </w:r>
      <w:r>
        <w:rPr>
          <w:rFonts w:ascii="方正仿宋_GBK" w:hAnsi="方正仿宋_GBK" w:eastAsia="方正仿宋_GBK" w:cs="方正仿宋_GBK"/>
          <w:sz w:val="32"/>
          <w:szCs w:val="32"/>
          <w:shd w:val="clear" w:color="auto" w:fill="FFFFFF"/>
        </w:rPr>
        <w:t>023-74639461</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pgSz w:w="11915" w:h="16840"/>
          <w:pgMar w:top="1440" w:right="1800" w:bottom="1440" w:left="1800" w:header="851" w:footer="992" w:gutter="0"/>
          <w:pgNumType w:fmt="numberInDash"/>
          <w:cols w:space="720" w:num="1"/>
          <w:docGrid w:type="lines" w:linePitch="326"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重庆市垫江第一中学校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9,102.16</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2,502.15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551.11</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7,844.00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522.15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1,627.49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307.16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2,500.35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400.95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1.80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12,677.56</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12,681.74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130.31</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126.13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12,807.87</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12,807.87</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重庆市垫江第一中学校</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12,677.56</w:t>
            </w:r>
            <w:r>
              <w:rPr>
                <w:rFonts w:ascii="Times New Roman" w:hAnsi="Times New Roman"/>
                <w:b/>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11,604.31</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551.11</w:t>
            </w:r>
            <w:r>
              <w:rPr>
                <w:rFonts w:ascii="Times New Roman" w:hAnsi="Times New Roman"/>
                <w:b/>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551.11</w:t>
            </w:r>
            <w:r>
              <w:rPr>
                <w:rFonts w:ascii="Times New Roman" w:hAnsi="Times New Roman"/>
                <w:b/>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522.15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7,839.82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6,766.57</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551.11</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551.11</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522.15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7,810.91</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6,737.66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551.11</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551.11</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522.15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3,030.84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2,708.69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8.57</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8.57</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313.58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4,776.11</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4,025.00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542.54</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542.54</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208.57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其他普通教育支出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3.96</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3.96</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21.35</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21.35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21.35</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21.35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7.56</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7.56</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7.56</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1,627.49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1,627.49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1,614.54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1,614.54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843.95</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843.95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422.52</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422.52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348.07</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348.07</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12.94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12.94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307.16</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307.16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307.16</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307.16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307.16</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307.16</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2,500.35</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2,500.35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400.95</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400.95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400.95</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400.95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400.95</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400.95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22998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超长期特别国债安排的其他支出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2299899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1.80</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重庆市垫江第一中学校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12,681.74</w:t>
            </w:r>
            <w:r>
              <w:rPr>
                <w:rFonts w:ascii="Times New Roman" w:hAnsi="Times New Roman"/>
                <w:b/>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9,493.53</w:t>
            </w:r>
            <w:r>
              <w:rPr>
                <w:rFonts w:ascii="Times New Roman" w:hAnsi="Times New Roman"/>
                <w:b/>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3,188.21</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7,844.00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7,159.09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684.91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7,815.09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7,142.74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672.35</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2,904.71</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2,571.26</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333.45</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4,906.42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4,571.47</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334.94</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其他普通教育支出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3.96</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3.96</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21.35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16.35</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21.35</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16.35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7.56</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7.56</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7.56</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7.56</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1,627.49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1,626.34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1.15</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1,614.54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1,613.40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1.15</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843.95</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843.95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422.52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422.52</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348.07</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346.93</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1.15</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12.94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12.94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12.94</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307.16</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307.16</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307.16</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307.16</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307.16</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307.16</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2,500.35</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2,500.35</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400.95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400.95</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400.95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400.95</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400.95</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400.95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22998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超长期特别国债安排的其他支出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2299899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1.80</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1.80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重庆市垫江第一中学校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9,102.16</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2,502.15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6,766.57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6,766.57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1,627.49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1,627.49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307.16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307.16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2,500.35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2,500.35</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400.95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400.95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1.80</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11,604.31</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11,604.31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9,102.16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2,502.15</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11,604.31</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11,604.31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9,102.16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2,502.15</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重庆市垫江第一中学校</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9,102.16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8,428.33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rPr>
            </w:pPr>
            <w:r>
              <w:rPr>
                <w:rFonts w:hint="default" w:ascii="Times New Roman" w:hAnsi="Times New Roman"/>
                <w:b/>
                <w:bCs/>
                <w:sz w:val="20"/>
                <w:szCs w:val="20"/>
              </w:rPr>
              <w:t>673.83</w:t>
            </w:r>
            <w:r>
              <w:rPr>
                <w:rFonts w:ascii="Times New Roman" w:hAnsi="Times New Roman"/>
                <w:b/>
                <w:sz w:val="20"/>
              </w:rPr>
              <w:t xml:space="preserve"> </w:t>
            </w:r>
          </w:p>
          <w:p>
            <w:pPr>
              <w:jc w:val="right"/>
              <w:textAlignment w:val="center"/>
              <w:rPr>
                <w:rFonts w:hint="default" w:ascii="Times New Roman" w:hAnsi="Times New Roman"/>
                <w:b/>
                <w:sz w:val="20"/>
              </w:rPr>
            </w:pPr>
          </w:p>
          <w:p>
            <w:pPr>
              <w:jc w:val="right"/>
              <w:textAlignment w:val="center"/>
              <w:rPr>
                <w:rFonts w:hint="default" w:ascii="Times New Roman" w:hAnsi="Times New Roman"/>
                <w:b/>
                <w:sz w:val="20"/>
                <w:szCs w:val="20"/>
              </w:rPr>
            </w:pP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6,766.57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6,093.88</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672.68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6,737.66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6,077.53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660.12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2,708.69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2,380.14</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328.55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4,025.00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3,697.39</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327.61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其他普通教育支出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3.96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21.35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16.35</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21.35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16.35</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7.56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7.56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7.56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7.56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1,627.49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1,626.34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1,614.54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1,613.40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843.95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843.95</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422.52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422.52</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348.07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346.93</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12.94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12.94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12.94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12.94</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307.16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307.16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307.16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307.16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307.16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307.16</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400.95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400.95</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400.95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400.95</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400.95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400.95</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重庆市垫江第一中学校</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7,938.56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129.89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1,917.62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62.61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3,911.05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843.95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422.52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307.16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10.14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400.95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62.56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359.87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16.35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12.94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269.32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21.80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40.56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55.81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72.98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8,298.44</w:t>
            </w:r>
            <w:r>
              <w:rPr>
                <w:rFonts w:ascii="Times New Roman" w:hAnsi="Times New Roman"/>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129.89</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重庆市垫江第一中学校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2,502.15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2,502.15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2,502.15</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2,500.35</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2,500.35</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2,500.35</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2,500.35</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22998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超长期特别国债安排的其他支出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2299899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重庆市垫江第一中学校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重庆市垫江第一中学校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652.45</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652.45</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648.00</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608.45</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33.00</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1.12</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liOTQxMTdiMWZmY2IwOWUzMmNlYWUxYzc3NmM1MmMifQ=="/>
  </w:docVars>
  <w:rsids>
    <w:rsidRoot w:val="00B03CCD"/>
    <w:rsid w:val="000239C6"/>
    <w:rsid w:val="000C4E7E"/>
    <w:rsid w:val="000D22D6"/>
    <w:rsid w:val="00135B46"/>
    <w:rsid w:val="001B6AA5"/>
    <w:rsid w:val="001D3BB7"/>
    <w:rsid w:val="002B254B"/>
    <w:rsid w:val="0034050A"/>
    <w:rsid w:val="003C11F1"/>
    <w:rsid w:val="0044504F"/>
    <w:rsid w:val="00466C9B"/>
    <w:rsid w:val="00486CFC"/>
    <w:rsid w:val="00491DDD"/>
    <w:rsid w:val="00527900"/>
    <w:rsid w:val="00550ABE"/>
    <w:rsid w:val="005E473E"/>
    <w:rsid w:val="00623A85"/>
    <w:rsid w:val="00770383"/>
    <w:rsid w:val="007819D4"/>
    <w:rsid w:val="00795D95"/>
    <w:rsid w:val="007B419D"/>
    <w:rsid w:val="007B7C4B"/>
    <w:rsid w:val="007D03EA"/>
    <w:rsid w:val="007D3D39"/>
    <w:rsid w:val="007F18B7"/>
    <w:rsid w:val="00807227"/>
    <w:rsid w:val="009131AE"/>
    <w:rsid w:val="00984C6A"/>
    <w:rsid w:val="00994AF7"/>
    <w:rsid w:val="009B67B8"/>
    <w:rsid w:val="009C14C9"/>
    <w:rsid w:val="009D2B67"/>
    <w:rsid w:val="009E1452"/>
    <w:rsid w:val="00A034B5"/>
    <w:rsid w:val="00A053CD"/>
    <w:rsid w:val="00A566F9"/>
    <w:rsid w:val="00AC58E2"/>
    <w:rsid w:val="00AF2751"/>
    <w:rsid w:val="00B03CCD"/>
    <w:rsid w:val="00B32B2D"/>
    <w:rsid w:val="00B363B0"/>
    <w:rsid w:val="00B80167"/>
    <w:rsid w:val="00BC4532"/>
    <w:rsid w:val="00BE2B89"/>
    <w:rsid w:val="00BF0D89"/>
    <w:rsid w:val="00C10E9E"/>
    <w:rsid w:val="00C20C3E"/>
    <w:rsid w:val="00C5163E"/>
    <w:rsid w:val="00CF2ACF"/>
    <w:rsid w:val="00D03AAF"/>
    <w:rsid w:val="00DA6221"/>
    <w:rsid w:val="00DD0539"/>
    <w:rsid w:val="00E07662"/>
    <w:rsid w:val="00E368E9"/>
    <w:rsid w:val="00EE1E33"/>
    <w:rsid w:val="00F73F90"/>
    <w:rsid w:val="00FB4B3B"/>
    <w:rsid w:val="00FC5926"/>
    <w:rsid w:val="00FF125D"/>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025918"/>
    <w:rsid w:val="0C7927C4"/>
    <w:rsid w:val="0C9B098C"/>
    <w:rsid w:val="0D673E11"/>
    <w:rsid w:val="0DDA54E4"/>
    <w:rsid w:val="0E3A5F83"/>
    <w:rsid w:val="0F836721"/>
    <w:rsid w:val="0FA25D96"/>
    <w:rsid w:val="0FEC5D1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016082"/>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8D8737A"/>
    <w:rsid w:val="29310A5F"/>
    <w:rsid w:val="29C37A35"/>
    <w:rsid w:val="2A076083"/>
    <w:rsid w:val="2A73162E"/>
    <w:rsid w:val="2B167953"/>
    <w:rsid w:val="2B200583"/>
    <w:rsid w:val="2B2729C0"/>
    <w:rsid w:val="2B8209DE"/>
    <w:rsid w:val="2B821C91"/>
    <w:rsid w:val="2BF81A22"/>
    <w:rsid w:val="2C636760"/>
    <w:rsid w:val="2C6762A3"/>
    <w:rsid w:val="2F9C7D98"/>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8A5BC3"/>
    <w:rsid w:val="67924660"/>
    <w:rsid w:val="68407834"/>
    <w:rsid w:val="6883293E"/>
    <w:rsid w:val="688412AD"/>
    <w:rsid w:val="68EB1B71"/>
    <w:rsid w:val="696C0310"/>
    <w:rsid w:val="69AE27E8"/>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8543EF"/>
    <w:rsid w:val="750837F0"/>
    <w:rsid w:val="754758CF"/>
    <w:rsid w:val="75595ECD"/>
    <w:rsid w:val="764F62AB"/>
    <w:rsid w:val="765C45EC"/>
    <w:rsid w:val="768A7619"/>
    <w:rsid w:val="76BD23AB"/>
    <w:rsid w:val="772E1EBA"/>
    <w:rsid w:val="781926BC"/>
    <w:rsid w:val="78CE00F3"/>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9298</Words>
  <Characters>13059</Characters>
  <Lines>117</Lines>
  <Paragraphs>32</Paragraphs>
  <TotalTime>1</TotalTime>
  <ScaleCrop>false</ScaleCrop>
  <LinksUpToDate>false</LinksUpToDate>
  <CharactersWithSpaces>14314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2025-09-22T07:16:32Z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