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重庆市垫江第五中学校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2024年度决算公开说明</w:t>
      </w:r>
    </w:p>
    <w:p>
      <w:pPr>
        <w:spacing w:line="600" w:lineRule="exact"/>
        <w:ind w:firstLine="640" w:firstLineChars="200"/>
        <w:rPr>
          <w:rFonts w:eastAsia="方正黑体_GBK"/>
          <w:color w:val="auto"/>
          <w:sz w:val="32"/>
        </w:rPr>
      </w:pPr>
    </w:p>
    <w:p>
      <w:pPr>
        <w:spacing w:line="600" w:lineRule="exact"/>
        <w:ind w:firstLine="640" w:firstLineChars="200"/>
        <w:rPr>
          <w:rFonts w:eastAsia="方正黑体_GBK"/>
          <w:color w:val="auto"/>
          <w:sz w:val="32"/>
        </w:rPr>
      </w:pPr>
      <w:r>
        <w:rPr>
          <w:rFonts w:eastAsia="方正黑体_GBK"/>
          <w:color w:val="auto"/>
          <w:sz w:val="32"/>
        </w:rPr>
        <w:t>一、单位基本情况</w:t>
      </w:r>
    </w:p>
    <w:p>
      <w:pPr>
        <w:spacing w:line="600" w:lineRule="exact"/>
        <w:ind w:firstLine="643" w:firstLineChars="200"/>
        <w:rPr>
          <w:rFonts w:eastAsia="方正楷体_GBK"/>
          <w:b/>
          <w:color w:val="auto"/>
          <w:sz w:val="32"/>
        </w:rPr>
      </w:pPr>
      <w:r>
        <w:rPr>
          <w:rFonts w:eastAsia="方正楷体_GBK"/>
          <w:b/>
          <w:color w:val="auto"/>
          <w:sz w:val="32"/>
        </w:rPr>
        <w:t>（一）职能职责</w:t>
      </w:r>
    </w:p>
    <w:p>
      <w:pPr>
        <w:spacing w:line="600" w:lineRule="exact"/>
        <w:ind w:firstLine="640" w:firstLineChars="200"/>
        <w:rPr>
          <w:rFonts w:eastAsia="方正仿宋_GBK"/>
          <w:color w:val="auto"/>
          <w:sz w:val="32"/>
          <w:szCs w:val="32"/>
        </w:rPr>
      </w:pPr>
      <w:r>
        <w:rPr>
          <w:rFonts w:eastAsia="方正仿宋_GBK"/>
          <w:color w:val="auto"/>
          <w:sz w:val="32"/>
          <w:szCs w:val="32"/>
        </w:rPr>
        <w:t>负责普通高中学历教育，为高一级学校输送人才；负责适龄青少年义务教育工作。</w:t>
      </w:r>
    </w:p>
    <w:p>
      <w:pPr>
        <w:spacing w:line="600" w:lineRule="exact"/>
        <w:ind w:firstLine="643" w:firstLineChars="200"/>
        <w:rPr>
          <w:rFonts w:eastAsia="方正楷体_GBK"/>
          <w:b/>
          <w:color w:val="auto"/>
          <w:sz w:val="32"/>
        </w:rPr>
      </w:pPr>
      <w:r>
        <w:rPr>
          <w:rFonts w:eastAsia="方正楷体_GBK"/>
          <w:b/>
          <w:color w:val="auto"/>
          <w:sz w:val="32"/>
        </w:rPr>
        <w:t>（二）机构设置</w:t>
      </w:r>
    </w:p>
    <w:p>
      <w:pPr>
        <w:spacing w:line="600" w:lineRule="exact"/>
        <w:ind w:firstLine="640" w:firstLineChars="200"/>
        <w:rPr>
          <w:rFonts w:eastAsia="方正仿宋_GBK"/>
          <w:color w:val="auto"/>
          <w:sz w:val="32"/>
        </w:rPr>
      </w:pPr>
      <w:r>
        <w:rPr>
          <w:rFonts w:eastAsia="方正仿宋_GBK"/>
          <w:color w:val="auto"/>
          <w:sz w:val="32"/>
          <w:szCs w:val="32"/>
        </w:rPr>
        <w:t>学校有领导职数4名（其中校长1名，副校长3名）。内设机构领导职数5名。内设机构有学校办公室、德育处、教务处，教科处，后勤处</w:t>
      </w:r>
      <w:r>
        <w:rPr>
          <w:rFonts w:eastAsia="方正仿宋_GBK"/>
          <w:color w:val="auto"/>
          <w:sz w:val="32"/>
        </w:rPr>
        <w:t>。</w:t>
      </w:r>
    </w:p>
    <w:p>
      <w:pPr>
        <w:spacing w:line="600" w:lineRule="exact"/>
        <w:ind w:firstLine="640" w:firstLineChars="200"/>
        <w:rPr>
          <w:rFonts w:hint="default" w:eastAsia="方正黑体_GBK"/>
          <w:color w:val="auto"/>
          <w:sz w:val="32"/>
        </w:rPr>
      </w:pPr>
      <w:r>
        <w:rPr>
          <w:rFonts w:eastAsia="方正黑体_GBK"/>
          <w:color w:val="auto"/>
          <w:sz w:val="32"/>
        </w:rPr>
        <w:t>二、单位决算收支情况说明</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2024年度收入总计6324.76万元，支出总计</w:t>
      </w:r>
      <w:r>
        <w:rPr>
          <w:rFonts w:ascii="方正仿宋_GBK" w:hAnsi="方正仿宋_GBK" w:eastAsia="方正仿宋_GBK" w:cs="方正仿宋_GBK"/>
          <w:color w:val="auto"/>
          <w:sz w:val="32"/>
          <w:szCs w:val="32"/>
        </w:rPr>
        <w:t>6324.76</w:t>
      </w:r>
      <w:r>
        <w:rPr>
          <w:rFonts w:ascii="方正仿宋_GBK" w:hAnsi="方正仿宋_GBK" w:eastAsia="方正仿宋_GBK" w:cs="方正仿宋_GBK"/>
          <w:color w:val="auto"/>
          <w:sz w:val="32"/>
          <w:szCs w:val="32"/>
          <w:shd w:val="clear" w:color="auto" w:fill="FFFFFF"/>
        </w:rPr>
        <w:t>万元。收、支与2023年度相比，减少887.45万元，下降12.30%，主要原因是2023年清算补发以前年度超额绩效和健康休养费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2024年度收入合计6301.71万元，与2023年度相比，减少751.65万元，下降10.66%，主要原因是2023年清算补发以前年度超额绩效和健康休养费。其中：财政拨款收入</w:t>
      </w:r>
      <w:r>
        <w:rPr>
          <w:rFonts w:ascii="方正仿宋_GBK" w:hAnsi="方正仿宋_GBK" w:eastAsia="方正仿宋_GBK" w:cs="方正仿宋_GBK"/>
          <w:color w:val="auto"/>
          <w:sz w:val="32"/>
          <w:szCs w:val="32"/>
        </w:rPr>
        <w:t>5899.62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93.62</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177.09</w:t>
      </w:r>
      <w:r>
        <w:rPr>
          <w:rFonts w:ascii="方正仿宋_GBK" w:hAnsi="方正仿宋_GBK" w:eastAsia="方正仿宋_GBK" w:cs="方正仿宋_GBK"/>
          <w:color w:val="auto"/>
          <w:sz w:val="32"/>
          <w:szCs w:val="32"/>
          <w:shd w:val="clear" w:color="auto" w:fill="FFFFFF"/>
        </w:rPr>
        <w:t>万元，占2.81%；经营收入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225.00</w:t>
      </w:r>
      <w:r>
        <w:rPr>
          <w:rFonts w:ascii="方正仿宋_GBK" w:hAnsi="方正仿宋_GBK" w:eastAsia="方正仿宋_GBK" w:cs="方正仿宋_GBK"/>
          <w:color w:val="auto"/>
          <w:sz w:val="32"/>
          <w:szCs w:val="32"/>
          <w:shd w:val="clear" w:color="auto" w:fill="FFFFFF"/>
        </w:rPr>
        <w:t>万元，占3.57%。此外，使用非财政拨款结余和专用结余</w:t>
      </w:r>
      <w:r>
        <w:rPr>
          <w:rFonts w:ascii="方正仿宋_GBK" w:hAnsi="方正仿宋_GBK" w:eastAsia="方正仿宋_GBK" w:cs="方正仿宋_GBK"/>
          <w:color w:val="auto"/>
          <w:sz w:val="32"/>
          <w:szCs w:val="32"/>
        </w:rPr>
        <w:t>18.88</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4.17</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2024年度支出合计</w:t>
      </w:r>
      <w:r>
        <w:rPr>
          <w:rFonts w:ascii="方正仿宋_GBK" w:hAnsi="方正仿宋_GBK" w:eastAsia="方正仿宋_GBK" w:cs="方正仿宋_GBK"/>
          <w:color w:val="auto"/>
          <w:sz w:val="32"/>
          <w:szCs w:val="32"/>
        </w:rPr>
        <w:t>6320.59</w:t>
      </w:r>
      <w:r>
        <w:rPr>
          <w:rFonts w:ascii="方正仿宋_GBK" w:hAnsi="方正仿宋_GBK" w:eastAsia="方正仿宋_GBK" w:cs="方正仿宋_GBK"/>
          <w:color w:val="auto"/>
          <w:sz w:val="32"/>
          <w:szCs w:val="32"/>
          <w:shd w:val="clear" w:color="auto" w:fill="FFFFFF"/>
        </w:rPr>
        <w:t>万元，与2023年度相比，减少808.80万元，下降11.34%，主要原因是2023年清算补发以前年度超额绩效和健康休养费。其中：基本支出</w:t>
      </w:r>
      <w:r>
        <w:rPr>
          <w:rFonts w:ascii="方正仿宋_GBK" w:hAnsi="方正仿宋_GBK" w:eastAsia="方正仿宋_GBK" w:cs="方正仿宋_GBK"/>
          <w:color w:val="auto"/>
          <w:sz w:val="32"/>
          <w:szCs w:val="32"/>
        </w:rPr>
        <w:t>5742.23</w:t>
      </w:r>
      <w:r>
        <w:rPr>
          <w:rFonts w:ascii="方正仿宋_GBK" w:hAnsi="方正仿宋_GBK" w:eastAsia="方正仿宋_GBK" w:cs="方正仿宋_GBK"/>
          <w:color w:val="auto"/>
          <w:sz w:val="32"/>
          <w:szCs w:val="32"/>
          <w:shd w:val="clear" w:color="auto" w:fill="FFFFFF"/>
        </w:rPr>
        <w:t>万元，占90.85%；项目支出</w:t>
      </w:r>
      <w:r>
        <w:rPr>
          <w:rFonts w:ascii="方正仿宋_GBK" w:hAnsi="方正仿宋_GBK" w:eastAsia="方正仿宋_GBK" w:cs="方正仿宋_GBK"/>
          <w:color w:val="auto"/>
          <w:sz w:val="32"/>
          <w:szCs w:val="32"/>
        </w:rPr>
        <w:t>578.36</w:t>
      </w:r>
      <w:r>
        <w:rPr>
          <w:rFonts w:ascii="方正仿宋_GBK" w:hAnsi="方正仿宋_GBK" w:eastAsia="方正仿宋_GBK" w:cs="方正仿宋_GBK"/>
          <w:color w:val="auto"/>
          <w:sz w:val="32"/>
          <w:szCs w:val="32"/>
          <w:shd w:val="clear" w:color="auto" w:fill="FFFFFF"/>
        </w:rPr>
        <w:t>万元，占9.15%；经营支出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2024年度年末结转和结余</w:t>
      </w:r>
      <w:r>
        <w:rPr>
          <w:rFonts w:ascii="方正仿宋_GBK" w:hAnsi="方正仿宋_GBK" w:eastAsia="方正仿宋_GBK" w:cs="方正仿宋_GBK"/>
          <w:color w:val="auto"/>
          <w:sz w:val="32"/>
          <w:szCs w:val="32"/>
        </w:rPr>
        <w:t>4.17</w:t>
      </w:r>
      <w:r>
        <w:rPr>
          <w:rFonts w:ascii="方正仿宋_GBK" w:hAnsi="方正仿宋_GBK" w:eastAsia="方正仿宋_GBK" w:cs="方正仿宋_GBK"/>
          <w:color w:val="auto"/>
          <w:sz w:val="32"/>
          <w:szCs w:val="32"/>
          <w:shd w:val="clear" w:color="auto" w:fill="FFFFFF"/>
        </w:rPr>
        <w:t>万元，与2023年度相比，增加4.17万元，增长100.00%，主要原因是主管部门年末拨入助学金4.17万元未及时支付。</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2024年度财政拨款收、支总计5899.62万元。与2023年相比，财政拨款收、支总计各减少605.57万元，下降9.31%。主要原因是2023年清算补发以前年度超额绩效和健康休养费。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2024年度一般公共预算财政拨款收入</w:t>
      </w:r>
      <w:r>
        <w:rPr>
          <w:rFonts w:ascii="方正仿宋_GBK" w:hAnsi="方正仿宋_GBK" w:eastAsia="方正仿宋_GBK" w:cs="方正仿宋_GBK"/>
          <w:color w:val="auto"/>
          <w:sz w:val="32"/>
          <w:szCs w:val="32"/>
        </w:rPr>
        <w:t>5899.62</w:t>
      </w:r>
      <w:r>
        <w:rPr>
          <w:rFonts w:ascii="方正仿宋_GBK" w:hAnsi="方正仿宋_GBK" w:eastAsia="方正仿宋_GBK" w:cs="方正仿宋_GBK"/>
          <w:color w:val="auto"/>
          <w:sz w:val="32"/>
          <w:szCs w:val="32"/>
          <w:shd w:val="clear" w:color="auto" w:fill="FFFFFF"/>
        </w:rPr>
        <w:t>万元，与2023年度相比，减少605.57万元，下降9.31%。主要原因是2023年清算补发以前年度超额绩效和健康休养费。较年初预算数增加451.56万元，增长8.29%。主要原因是超额绩效纳入养老保险和职业年金基数。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2024年度一般公共预算财政拨款支出</w:t>
      </w:r>
      <w:r>
        <w:rPr>
          <w:rFonts w:ascii="方正仿宋_GBK" w:hAnsi="方正仿宋_GBK" w:eastAsia="方正仿宋_GBK" w:cs="方正仿宋_GBK"/>
          <w:color w:val="auto"/>
          <w:sz w:val="32"/>
          <w:szCs w:val="32"/>
        </w:rPr>
        <w:t>5899.62</w:t>
      </w:r>
      <w:r>
        <w:rPr>
          <w:rFonts w:ascii="方正仿宋_GBK" w:hAnsi="方正仿宋_GBK" w:eastAsia="方正仿宋_GBK" w:cs="方正仿宋_GBK"/>
          <w:color w:val="auto"/>
          <w:sz w:val="32"/>
          <w:szCs w:val="32"/>
          <w:shd w:val="clear" w:color="auto" w:fill="FFFFFF"/>
        </w:rPr>
        <w:t>万元，与2023年度相比，减少605.57万元，下降9.31%。主要原因是2023年清算补发以前年度超额绩效和健康休养费。较年初预算数增加451.56万元，增长8.29%。主要原因是超额绩效纳入养老保险和职业年金基数。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2024年度年末一般公共预算财政拨款结转和结余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（1）教育支出</w:t>
      </w:r>
      <w:r>
        <w:rPr>
          <w:rFonts w:ascii="方正仿宋_GBK" w:hAnsi="方正仿宋_GBK" w:eastAsia="方正仿宋_GBK" w:cs="方正仿宋_GBK"/>
          <w:color w:val="auto"/>
          <w:sz w:val="32"/>
          <w:szCs w:val="32"/>
        </w:rPr>
        <w:t>4400.01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74.58</w:t>
      </w:r>
      <w:r>
        <w:rPr>
          <w:rFonts w:ascii="方正仿宋_GBK" w:hAnsi="方正仿宋_GBK" w:eastAsia="方正仿宋_GBK" w:cs="方正仿宋_GBK"/>
          <w:color w:val="auto"/>
          <w:sz w:val="32"/>
          <w:szCs w:val="32"/>
          <w:shd w:val="clear" w:color="auto" w:fill="FFFFFF"/>
        </w:rPr>
        <w:t>%，较年初预算数增加201.93万元，增长4.81%，主要原因是本年预算执行中因教职工正常晋升、岗位职级变化等人员经费增加所致。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（2）社会保障与就业支出</w:t>
      </w:r>
      <w:r>
        <w:rPr>
          <w:rFonts w:ascii="方正仿宋_GBK" w:hAnsi="方正仿宋_GBK" w:eastAsia="方正仿宋_GBK" w:cs="方正仿宋_GBK"/>
          <w:color w:val="auto"/>
          <w:sz w:val="32"/>
          <w:szCs w:val="32"/>
        </w:rPr>
        <w:t>1035.44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17.55</w:t>
      </w:r>
      <w:r>
        <w:rPr>
          <w:rFonts w:ascii="方正仿宋_GBK" w:hAnsi="方正仿宋_GBK" w:eastAsia="方正仿宋_GBK" w:cs="方正仿宋_GBK"/>
          <w:color w:val="auto"/>
          <w:sz w:val="32"/>
          <w:szCs w:val="32"/>
          <w:shd w:val="clear" w:color="auto" w:fill="FFFFFF"/>
        </w:rPr>
        <w:t>%，较年初预算数增加280.69万元，增长37.19%，主要原因是本年预算执行中将超额绩效纳入养老保险和职业年金基数增加</w:t>
      </w:r>
      <w:bookmarkStart w:id="0" w:name="_GoBack"/>
      <w:r>
        <w:rPr>
          <w:rFonts w:hint="eastAsia" w:ascii="方正仿宋_GBK" w:hAnsi="方正仿宋_GBK" w:eastAsia="方正仿宋_GBK" w:cs="方正仿宋_GBK"/>
          <w:color w:val="auto"/>
          <w:sz w:val="32"/>
          <w:szCs w:val="32"/>
          <w:shd w:val="clear" w:color="auto" w:fill="FFFFFF"/>
          <w:lang w:val="en-US" w:eastAsia="zh-CN"/>
        </w:rPr>
        <w:t>所</w:t>
      </w:r>
      <w:r>
        <w:rPr>
          <w:rFonts w:ascii="方正仿宋_GBK" w:hAnsi="方正仿宋_GBK" w:eastAsia="方正仿宋_GBK" w:cs="方正仿宋_GBK"/>
          <w:color w:val="auto"/>
          <w:sz w:val="32"/>
          <w:szCs w:val="32"/>
          <w:shd w:val="clear" w:color="auto" w:fill="FFFFFF"/>
        </w:rPr>
        <w:t>致</w:t>
      </w:r>
      <w:bookmarkEnd w:id="0"/>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（3）卫生健康支出</w:t>
      </w:r>
      <w:r>
        <w:rPr>
          <w:rFonts w:ascii="方正仿宋_GBK" w:hAnsi="方正仿宋_GBK" w:eastAsia="方正仿宋_GBK" w:cs="方正仿宋_GBK"/>
          <w:color w:val="auto"/>
          <w:sz w:val="32"/>
          <w:szCs w:val="32"/>
        </w:rPr>
        <w:t>212.39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3.60</w:t>
      </w:r>
      <w:r>
        <w:rPr>
          <w:rFonts w:ascii="方正仿宋_GBK" w:hAnsi="方正仿宋_GBK" w:eastAsia="方正仿宋_GBK" w:cs="方正仿宋_GBK"/>
          <w:color w:val="auto"/>
          <w:sz w:val="32"/>
          <w:szCs w:val="32"/>
          <w:shd w:val="clear" w:color="auto" w:fill="FFFFFF"/>
        </w:rPr>
        <w:t>%，较年初预算数减少12.71万元，下降5.65%，主要原因是本年预算执行中因教职工退休和调出减少了缴费基数。</w:t>
      </w:r>
    </w:p>
    <w:p>
      <w:pPr>
        <w:spacing w:line="600"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（4）</w:t>
      </w:r>
      <w:r>
        <w:rPr>
          <w:rFonts w:ascii="方正仿宋_GBK" w:hAnsi="方正仿宋_GBK" w:eastAsia="方正仿宋_GBK" w:cs="方正仿宋_GBK"/>
          <w:color w:val="auto"/>
          <w:sz w:val="32"/>
          <w:szCs w:val="32"/>
        </w:rPr>
        <w:t>住房保障支出251.78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4.27</w:t>
      </w:r>
      <w:r>
        <w:rPr>
          <w:rFonts w:ascii="方正仿宋_GBK" w:hAnsi="方正仿宋_GBK" w:eastAsia="方正仿宋_GBK" w:cs="方正仿宋_GBK"/>
          <w:color w:val="auto"/>
          <w:sz w:val="32"/>
          <w:szCs w:val="32"/>
          <w:shd w:val="clear" w:color="auto" w:fill="FFFFFF"/>
        </w:rPr>
        <w:t>%，较年初预算数减少18.35万元，下降6.79%，主要原因是本年预算执行中因教职工退休和调出减少了缴费基数。</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2024年度一般公共</w:t>
      </w:r>
      <w:r>
        <w:rPr>
          <w:rFonts w:hint="eastAsia" w:ascii="方正仿宋_GBK" w:hAnsi="方正仿宋_GBK" w:eastAsia="方正仿宋_GBK" w:cs="方正仿宋_GBK"/>
          <w:color w:val="auto"/>
          <w:sz w:val="32"/>
          <w:szCs w:val="32"/>
          <w:shd w:val="clear" w:color="auto" w:fill="FFFFFF"/>
          <w:lang w:val="en-US" w:eastAsia="zh-CN"/>
        </w:rPr>
        <w:t>预算</w:t>
      </w:r>
      <w:r>
        <w:rPr>
          <w:rFonts w:ascii="方正仿宋_GBK" w:hAnsi="方正仿宋_GBK" w:eastAsia="方正仿宋_GBK" w:cs="方正仿宋_GBK"/>
          <w:color w:val="auto"/>
          <w:sz w:val="32"/>
          <w:szCs w:val="32"/>
          <w:shd w:val="clear" w:color="auto" w:fill="FFFFFF"/>
        </w:rPr>
        <w:t>财政拨款基本支出</w:t>
      </w:r>
      <w:r>
        <w:rPr>
          <w:rFonts w:ascii="方正仿宋_GBK" w:hAnsi="方正仿宋_GBK" w:eastAsia="方正仿宋_GBK" w:cs="方正仿宋_GBK"/>
          <w:color w:val="auto"/>
          <w:sz w:val="32"/>
          <w:szCs w:val="32"/>
        </w:rPr>
        <w:t>5322.44</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5240.34</w:t>
      </w:r>
      <w:r>
        <w:rPr>
          <w:rFonts w:ascii="方正仿宋_GBK" w:hAnsi="方正仿宋_GBK" w:eastAsia="方正仿宋_GBK" w:cs="方正仿宋_GBK"/>
          <w:color w:val="auto"/>
          <w:sz w:val="32"/>
          <w:szCs w:val="32"/>
          <w:shd w:val="clear" w:color="auto" w:fill="FFFFFF"/>
        </w:rPr>
        <w:t>万元，与2023年度相比，减少709.04万元，下降11.92%，主要原因是2023年清算补发以前年度超额绩效和健康休养费。人员经费用途主要包括</w:t>
      </w:r>
      <w:r>
        <w:rPr>
          <w:rFonts w:ascii="方正仿宋_GBK" w:eastAsia="方正仿宋_GBK"/>
          <w:color w:val="auto"/>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82.09</w:t>
      </w:r>
      <w:r>
        <w:rPr>
          <w:rFonts w:ascii="方正仿宋_GBK" w:hAnsi="方正仿宋_GBK" w:eastAsia="方正仿宋_GBK" w:cs="方正仿宋_GBK"/>
          <w:color w:val="auto"/>
          <w:sz w:val="32"/>
          <w:szCs w:val="32"/>
          <w:shd w:val="clear" w:color="auto" w:fill="FFFFFF"/>
        </w:rPr>
        <w:t>万元，与2023年度相比，减少2.24万元，下降2.66%，主要原因是工会经费、培训费、福利费的预算基数减少所致。公用经费用途主要包括</w:t>
      </w:r>
      <w:r>
        <w:rPr>
          <w:rFonts w:ascii="方正仿宋_GBK" w:eastAsia="方正仿宋_GBK"/>
          <w:color w:val="auto"/>
          <w:sz w:val="32"/>
          <w:szCs w:val="32"/>
        </w:rPr>
        <w:t>学校师资培训、教职工体检和工作餐等福利、工会补助等支出</w:t>
      </w:r>
      <w:r>
        <w:rPr>
          <w:rFonts w:ascii="方正仿宋_GBK" w:hAnsi="方正仿宋_GBK" w:eastAsia="方正仿宋_GBK" w:cs="方正仿宋_GBK"/>
          <w:color w:val="auto"/>
          <w:sz w:val="32"/>
          <w:szCs w:val="32"/>
          <w:shd w:val="clear" w:color="auto" w:fill="FFFFFF"/>
        </w:rPr>
        <w:t>。</w:t>
      </w:r>
    </w:p>
    <w:p>
      <w:pPr>
        <w:pStyle w:val="11"/>
        <w:autoSpaceDE w:val="0"/>
        <w:spacing w:line="600" w:lineRule="exact"/>
        <w:ind w:firstLine="643"/>
        <w:rPr>
          <w:rFonts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color w:val="auto"/>
          <w:sz w:val="32"/>
          <w:szCs w:val="32"/>
        </w:rPr>
      </w:pPr>
      <w:r>
        <w:rPr>
          <w:rFonts w:ascii="方正楷体_GBK" w:hAnsi="楷体" w:eastAsia="方正楷体_GBK" w:cs="楷体"/>
          <w:b/>
          <w:bCs/>
          <w:color w:val="auto"/>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三、财政拨款“三公”经费情况说明</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（一）“三公”经费支出总体情况说明</w:t>
      </w:r>
    </w:p>
    <w:p>
      <w:pPr>
        <w:pStyle w:val="6"/>
        <w:snapToGrid w:val="0"/>
        <w:spacing w:before="0" w:beforeAutospacing="0" w:after="0" w:afterAutospacing="0" w:line="600" w:lineRule="exact"/>
        <w:ind w:firstLine="640" w:firstLineChars="200"/>
        <w:jc w:val="both"/>
        <w:rPr>
          <w:rFonts w:ascii="方正仿宋_GBK" w:eastAsia="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0.58</w:t>
      </w:r>
      <w:r>
        <w:rPr>
          <w:rFonts w:ascii="方正仿宋_GBK" w:hAnsi="方正仿宋_GBK" w:eastAsia="方正仿宋_GBK" w:cs="方正仿宋_GBK"/>
          <w:color w:val="auto"/>
          <w:sz w:val="32"/>
          <w:szCs w:val="32"/>
          <w:shd w:val="clear" w:color="auto" w:fill="FFFFFF"/>
        </w:rPr>
        <w:t>万元，较年初预算数增加0.13万元，增长28.9%，主要原因是</w:t>
      </w:r>
      <w:r>
        <w:rPr>
          <w:rFonts w:hint="eastAsia" w:ascii="方正仿宋_GBK" w:hAnsi="方正仿宋_GBK" w:eastAsia="方正仿宋_GBK" w:cs="方正仿宋_GBK"/>
          <w:color w:val="auto"/>
          <w:sz w:val="32"/>
          <w:szCs w:val="32"/>
          <w:shd w:val="clear" w:color="auto" w:fill="FFFFFF"/>
          <w:lang w:val="en-US" w:eastAsia="zh-CN"/>
        </w:rPr>
        <w:t>燃油费价格上涨。</w:t>
      </w:r>
      <w:r>
        <w:rPr>
          <w:rFonts w:ascii="方正仿宋_GBK" w:hAnsi="方正仿宋_GBK" w:eastAsia="方正仿宋_GBK" w:cs="方正仿宋_GBK"/>
          <w:color w:val="auto"/>
          <w:sz w:val="32"/>
          <w:szCs w:val="32"/>
          <w:shd w:val="clear" w:color="auto" w:fill="FFFFFF"/>
        </w:rPr>
        <w:t>较上年支出数减少0.01万元，下降1.7%，主要原因是</w:t>
      </w:r>
      <w:r>
        <w:rPr>
          <w:rFonts w:hint="eastAsia" w:ascii="方正仿宋_GBK" w:hAnsi="方正仿宋_GBK" w:eastAsia="方正仿宋_GBK" w:cs="方正仿宋_GBK"/>
          <w:color w:val="auto"/>
          <w:sz w:val="32"/>
          <w:szCs w:val="32"/>
          <w:shd w:val="clear" w:color="auto" w:fill="FFFFFF"/>
          <w:lang w:val="en-US" w:eastAsia="zh-CN"/>
        </w:rPr>
        <w:t>响应政府过“紧日子”要求，缩减支出</w:t>
      </w:r>
      <w:r>
        <w:rPr>
          <w:rFonts w:ascii="方正仿宋_GBK" w:eastAsia="方正仿宋_GBK"/>
          <w:color w:val="auto"/>
          <w:sz w:val="32"/>
          <w:szCs w:val="32"/>
        </w:rPr>
        <w:t>。</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（二）“三公”经费分项支出情况</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val="en-US" w:eastAsia="zh-CN"/>
        </w:rPr>
        <w:t>用</w:t>
      </w:r>
      <w:r>
        <w:rPr>
          <w:rFonts w:ascii="方正仿宋_GBK" w:hAnsi="方正仿宋_GBK" w:eastAsia="方正仿宋_GBK" w:cs="方正仿宋_GBK"/>
          <w:color w:val="auto"/>
          <w:sz w:val="32"/>
          <w:szCs w:val="32"/>
          <w:shd w:val="clear" w:color="auto" w:fill="FFFFFF"/>
        </w:rPr>
        <w:t>车运行维护费</w:t>
      </w:r>
      <w:r>
        <w:rPr>
          <w:rFonts w:ascii="方正仿宋_GBK" w:hAnsi="方正仿宋_GBK" w:eastAsia="方正仿宋_GBK" w:cs="方正仿宋_GBK"/>
          <w:color w:val="auto"/>
          <w:sz w:val="32"/>
          <w:szCs w:val="32"/>
        </w:rPr>
        <w:t>0.58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教职工上下班通勤车辆燃油费、保险费、路桥费、维修维护等支出</w:t>
      </w:r>
      <w:r>
        <w:rPr>
          <w:rFonts w:ascii="方正仿宋_GBK" w:hAnsi="方正仿宋_GBK" w:eastAsia="方正仿宋_GBK" w:cs="方正仿宋_GBK"/>
          <w:color w:val="auto"/>
          <w:sz w:val="32"/>
          <w:szCs w:val="32"/>
          <w:shd w:val="clear" w:color="auto" w:fill="FFFFFF"/>
        </w:rPr>
        <w:t>。费用支出较年初预算数增加0.13万元，增长28.9%，主要原因是</w:t>
      </w:r>
      <w:r>
        <w:rPr>
          <w:rFonts w:hint="eastAsia" w:ascii="方正仿宋_GBK" w:hAnsi="方正仿宋_GBK" w:eastAsia="方正仿宋_GBK" w:cs="方正仿宋_GBK"/>
          <w:color w:val="auto"/>
          <w:sz w:val="32"/>
          <w:szCs w:val="32"/>
          <w:shd w:val="clear" w:color="auto" w:fill="FFFFFF"/>
          <w:lang w:val="en-US" w:eastAsia="zh-CN"/>
        </w:rPr>
        <w:t>燃油费价格上涨。</w:t>
      </w:r>
      <w:r>
        <w:rPr>
          <w:rFonts w:ascii="方正仿宋_GBK" w:hAnsi="方正仿宋_GBK" w:eastAsia="方正仿宋_GBK" w:cs="方正仿宋_GBK"/>
          <w:color w:val="auto"/>
          <w:sz w:val="32"/>
          <w:szCs w:val="32"/>
          <w:shd w:val="clear" w:color="auto" w:fill="FFFFFF"/>
        </w:rPr>
        <w:t>较上年支出数减少0.01万元，下降1.7%，主要原因是</w:t>
      </w:r>
      <w:r>
        <w:rPr>
          <w:rFonts w:hint="eastAsia" w:ascii="方正仿宋_GBK" w:hAnsi="方正仿宋_GBK" w:eastAsia="方正仿宋_GBK" w:cs="方正仿宋_GBK"/>
          <w:color w:val="auto"/>
          <w:sz w:val="32"/>
          <w:szCs w:val="32"/>
          <w:shd w:val="clear" w:color="auto" w:fill="FFFFFF"/>
          <w:lang w:val="en-US" w:eastAsia="zh-CN"/>
        </w:rPr>
        <w:t>响应政府过“紧日子”要求，缩减支出</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w:t>
      </w:r>
      <w:r>
        <w:rPr>
          <w:rFonts w:hint="eastAsia" w:ascii="方正仿宋_GBK" w:hAnsi="方正仿宋_GBK" w:eastAsia="方正仿宋_GBK" w:cs="方正仿宋_GBK"/>
          <w:color w:val="auto"/>
          <w:sz w:val="32"/>
          <w:szCs w:val="32"/>
          <w:shd w:val="clear" w:color="auto" w:fill="FFFFFF"/>
          <w:lang w:val="en-US" w:eastAsia="zh-CN"/>
        </w:rPr>
        <w:t>为1辆</w:t>
      </w:r>
      <w:r>
        <w:rPr>
          <w:rFonts w:ascii="方正仿宋_GBK" w:hAnsi="方正仿宋_GBK" w:eastAsia="方正仿宋_GBK" w:cs="方正仿宋_GBK"/>
          <w:color w:val="auto"/>
          <w:sz w:val="32"/>
          <w:szCs w:val="32"/>
          <w:shd w:val="clear" w:color="auto" w:fill="FFFFFF"/>
        </w:rPr>
        <w:t>；国内公务接待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人。2024年本单位人均接待费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hint="eastAsia" w:ascii="方正仿宋_GBK" w:hAnsi="方正仿宋_GBK" w:eastAsia="方正仿宋_GBK" w:cs="方正仿宋_GBK"/>
          <w:color w:val="auto"/>
          <w:sz w:val="32"/>
          <w:szCs w:val="32"/>
          <w:lang w:val="en-US" w:eastAsia="zh-CN"/>
        </w:rPr>
        <w:t>0.58</w:t>
      </w:r>
      <w:r>
        <w:rPr>
          <w:rFonts w:ascii="方正仿宋_GBK" w:hAnsi="方正仿宋_GBK" w:eastAsia="方正仿宋_GBK" w:cs="方正仿宋_GBK"/>
          <w:color w:val="auto"/>
          <w:sz w:val="32"/>
          <w:szCs w:val="32"/>
          <w:shd w:val="clear" w:color="auto" w:fill="FFFFFF"/>
        </w:rPr>
        <w:t>万元。</w:t>
      </w:r>
    </w:p>
    <w:p>
      <w:pPr>
        <w:spacing w:line="600" w:lineRule="exact"/>
        <w:ind w:firstLine="640" w:firstLineChars="200"/>
        <w:rPr>
          <w:rStyle w:val="10"/>
          <w:rFonts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四、其他需要说明的事项</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w:t>
      </w:r>
      <w:r>
        <w:rPr>
          <w:rFonts w:ascii="方正仿宋_GBK" w:eastAsia="方正仿宋_GBK"/>
          <w:color w:val="auto"/>
          <w:sz w:val="32"/>
          <w:szCs w:val="32"/>
        </w:rPr>
        <w:t>主要原因是上年和本年均未发生会议费支出</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18.35</w:t>
      </w:r>
      <w:r>
        <w:rPr>
          <w:rFonts w:ascii="方正仿宋_GBK" w:hAnsi="方正仿宋_GBK" w:eastAsia="方正仿宋_GBK" w:cs="方正仿宋_GBK"/>
          <w:color w:val="auto"/>
          <w:sz w:val="32"/>
          <w:szCs w:val="32"/>
          <w:shd w:val="clear" w:color="auto" w:fill="FFFFFF"/>
        </w:rPr>
        <w:t>万元，与2023年度相比，增加2.75万元，增长17.63%，主要原因是</w:t>
      </w:r>
      <w:r>
        <w:rPr>
          <w:rFonts w:hint="eastAsia" w:ascii="方正仿宋_GBK" w:hAnsi="方正仿宋_GBK" w:eastAsia="方正仿宋_GBK" w:cs="方正仿宋_GBK"/>
          <w:color w:val="auto"/>
          <w:sz w:val="32"/>
          <w:szCs w:val="32"/>
          <w:shd w:val="clear" w:color="auto" w:fill="FFFFFF"/>
        </w:rPr>
        <w:t>学校</w:t>
      </w:r>
      <w:r>
        <w:rPr>
          <w:rFonts w:ascii="方正仿宋_GBK" w:hAnsi="方正仿宋_GBK" w:eastAsia="方正仿宋_GBK" w:cs="方正仿宋_GBK"/>
          <w:color w:val="auto"/>
          <w:sz w:val="32"/>
          <w:szCs w:val="32"/>
          <w:shd w:val="clear" w:color="auto" w:fill="FFFFFF"/>
        </w:rPr>
        <w:t>加大了师资队伍的建设和培训</w:t>
      </w:r>
      <w:r>
        <w:rPr>
          <w:rFonts w:ascii="方正仿宋_GBK" w:hAnsi="方正仿宋_GBK" w:eastAsia="方正仿宋_GBK" w:cs="方正仿宋_GBK"/>
          <w:color w:val="auto"/>
          <w:sz w:val="32"/>
          <w:szCs w:val="32"/>
        </w:rPr>
        <w:t>。</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2024年度本单位机关运行经费支出</w:t>
      </w:r>
      <w:r>
        <w:rPr>
          <w:rFonts w:ascii="方正仿宋_GBK" w:hAnsi="方正仿宋_GBK" w:eastAsia="方正仿宋_GBK" w:cs="方正仿宋_GBK"/>
          <w:color w:val="auto"/>
          <w:sz w:val="32"/>
          <w:szCs w:val="32"/>
        </w:rPr>
        <w:t>0.0</w:t>
      </w:r>
      <w:r>
        <w:rPr>
          <w:rFonts w:ascii="方正仿宋_GBK" w:hAnsi="方正仿宋_GBK" w:eastAsia="方正仿宋_GBK" w:cs="方正仿宋_GBK"/>
          <w:color w:val="auto"/>
          <w:sz w:val="32"/>
          <w:szCs w:val="32"/>
          <w:shd w:val="clear" w:color="auto" w:fill="FFFFFF"/>
        </w:rPr>
        <w:t>0万元，机关运行经费较上年支出数无增减，主要原因是按照部门决算列报口</w:t>
      </w:r>
      <w:r>
        <w:rPr>
          <w:rFonts w:ascii="方正仿宋_GBK" w:eastAsia="方正仿宋_GBK"/>
          <w:bCs/>
          <w:color w:val="auto"/>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12月31日，本单位共有车辆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（四）政府采购支出情况说明</w:t>
      </w:r>
    </w:p>
    <w:p>
      <w:pPr>
        <w:pStyle w:val="11"/>
        <w:autoSpaceDE w:val="0"/>
        <w:spacing w:line="600" w:lineRule="exact"/>
        <w:ind w:firstLine="640"/>
        <w:rPr>
          <w:rFonts w:ascii="方正楷体_GBK" w:hAnsi="楷体" w:eastAsia="方正楷体_GBK" w:cs="楷体"/>
          <w:b/>
          <w:bCs/>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w:t>
      </w:r>
      <w:r>
        <w:rPr>
          <w:rFonts w:ascii="方正仿宋_GBK" w:hAnsi="方正仿宋_GBK" w:eastAsia="方正仿宋_GBK" w:cs="方正仿宋_GBK"/>
          <w:color w:val="auto"/>
          <w:sz w:val="32"/>
          <w:szCs w:val="32"/>
          <w:shd w:val="clear" w:color="auto" w:fill="FFFFFF"/>
        </w:rPr>
        <w:t>度本单位政府采购支出总额</w:t>
      </w:r>
      <w:r>
        <w:rPr>
          <w:rFonts w:ascii="方正仿宋_GBK" w:hAnsi="方正仿宋_GBK" w:eastAsia="方正仿宋_GBK" w:cs="方正仿宋_GBK"/>
          <w:color w:val="auto"/>
          <w:sz w:val="32"/>
          <w:szCs w:val="32"/>
        </w:rPr>
        <w:t>2.62</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2.62</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1.14万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43.69</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1.14</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43.69</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rPr>
        <w:t>教学用设备和学生课桌椅</w:t>
      </w:r>
      <w:r>
        <w:rPr>
          <w:rFonts w:ascii="方正仿宋_GBK" w:hAnsi="方正仿宋_GBK" w:eastAsia="方正仿宋_GBK" w:cs="方正仿宋_GBK"/>
          <w:color w:val="auto"/>
          <w:sz w:val="32"/>
          <w:szCs w:val="32"/>
          <w:shd w:val="clear" w:color="auto" w:fill="FFFFFF"/>
        </w:rPr>
        <w:t>。</w:t>
      </w:r>
    </w:p>
    <w:p>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五、2024年度预算绩效管理情况说明</w:t>
      </w:r>
    </w:p>
    <w:p>
      <w:pPr>
        <w:pStyle w:val="11"/>
        <w:autoSpaceDE w:val="0"/>
        <w:spacing w:line="600" w:lineRule="exact"/>
        <w:ind w:firstLine="643"/>
        <w:rPr>
          <w:rFonts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color w:val="auto"/>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rPr>
        <w:t>根据预算绩效管理要求，我单位对1</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个二级项目开展了绩效自评，涉及财政拨款项目支出资金577.18万元。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auto"/>
          <w:sz w:val="32"/>
          <w:szCs w:val="32"/>
        </w:rPr>
        <w:sectPr>
          <w:pgSz w:w="11915" w:h="16840"/>
          <w:pgMar w:top="1440" w:right="1800" w:bottom="1440" w:left="1800" w:header="851" w:footer="992" w:gutter="0"/>
          <w:pgNumType w:fmt="numberInDash"/>
          <w:cols w:space="720" w:num="1"/>
          <w:docGrid w:type="lines" w:linePitch="312" w:charSpace="0"/>
        </w:sectPr>
      </w:pPr>
    </w:p>
    <w:p>
      <w:pPr>
        <w:rPr>
          <w:color w:val="auto"/>
        </w:rPr>
      </w:pPr>
      <w:r>
        <w:rPr>
          <w:color w:val="auto"/>
        </w:rPr>
        <w:drawing>
          <wp:inline distT="0" distB="0" distL="114300" distR="114300">
            <wp:extent cx="5781675" cy="4872355"/>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781675" cy="4872355"/>
                    </a:xfrm>
                    <a:prstGeom prst="rect">
                      <a:avLst/>
                    </a:prstGeom>
                    <a:noFill/>
                    <a:ln>
                      <a:noFill/>
                    </a:ln>
                  </pic:spPr>
                </pic:pic>
              </a:graphicData>
            </a:graphic>
          </wp:inline>
        </w:drawing>
      </w:r>
      <w:r>
        <w:rPr>
          <w:color w:val="auto"/>
        </w:rPr>
        <w:t xml:space="preserve"> </w:t>
      </w:r>
    </w:p>
    <w:p>
      <w:pPr>
        <w:tabs>
          <w:tab w:val="left" w:pos="425"/>
        </w:tabs>
        <w:bidi w:val="0"/>
        <w:jc w:val="left"/>
        <w:rPr>
          <w:rFonts w:hint="default" w:ascii="宋体" w:hAnsi="宋体" w:eastAsia="宋体" w:cs="Times New Roman"/>
          <w:sz w:val="24"/>
          <w:szCs w:val="24"/>
          <w:lang w:val="en-US" w:eastAsia="zh-CN" w:bidi="ar-SA"/>
        </w:rPr>
        <w:sectPr>
          <w:pgSz w:w="11915" w:h="16840"/>
          <w:pgMar w:top="1440" w:right="1800" w:bottom="1440" w:left="1800" w:header="851" w:footer="992" w:gutter="0"/>
          <w:pgNumType w:fmt="numberInDash"/>
          <w:cols w:space="720" w:num="1"/>
          <w:docGrid w:type="lines" w:linePitch="312" w:charSpace="0"/>
        </w:sectPr>
      </w:pPr>
      <w:r>
        <w:rPr>
          <w:rFonts w:hint="eastAsia" w:cs="Times New Roman"/>
          <w:sz w:val="24"/>
          <w:szCs w:val="24"/>
          <w:lang w:val="en-US" w:eastAsia="zh-CN" w:bidi="ar-SA"/>
        </w:rPr>
        <w:tab/>
      </w:r>
      <w:r>
        <w:drawing>
          <wp:inline distT="0" distB="0" distL="114300" distR="114300">
            <wp:extent cx="6040120" cy="4946015"/>
            <wp:effectExtent l="0" t="0" r="825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604012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auto"/>
          <w:sz w:val="32"/>
          <w:szCs w:val="32"/>
          <w:shd w:val="clear" w:color="auto" w:fill="FFFFFF"/>
        </w:rPr>
      </w:pPr>
      <w:r>
        <w:rPr>
          <w:rFonts w:hint="eastAsia" w:ascii="方正楷体_GBK" w:hAnsi="楷体" w:eastAsia="方正楷体_GBK" w:cs="楷体"/>
          <w:b/>
          <w:bCs/>
          <w:color w:val="auto"/>
          <w:sz w:val="32"/>
          <w:szCs w:val="32"/>
          <w:shd w:val="clear" w:color="auto" w:fill="FFFFFF"/>
        </w:rPr>
        <w:t>（二）单位绩效评价情况</w:t>
      </w:r>
    </w:p>
    <w:p>
      <w:pPr>
        <w:pStyle w:val="11"/>
        <w:ind w:firstLine="640"/>
        <w:rPr>
          <w:rFonts w:ascii="方正仿宋_GBK" w:eastAsia="方正仿宋_GBK"/>
          <w:color w:val="auto"/>
          <w:sz w:val="32"/>
          <w:szCs w:val="32"/>
          <w:shd w:val="clear" w:color="auto" w:fill="FFFFFF"/>
        </w:rPr>
      </w:pPr>
      <w:r>
        <w:rPr>
          <w:rFonts w:hint="eastAsia" w:ascii="方正仿宋_GBK" w:eastAsia="方正仿宋_GBK"/>
          <w:color w:val="auto"/>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color w:val="auto"/>
          <w:sz w:val="32"/>
          <w:szCs w:val="32"/>
          <w:shd w:val="clear" w:color="auto" w:fill="FFFFFF"/>
          <w:lang w:bidi="ar"/>
        </w:rPr>
      </w:pPr>
      <w:r>
        <w:rPr>
          <w:rFonts w:hint="eastAsia" w:ascii="方正楷体_GBK" w:hAnsi="楷体" w:eastAsia="方正楷体_GBK" w:cs="楷体"/>
          <w:b/>
          <w:bCs/>
          <w:color w:val="auto"/>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县财政局未委托第三方对我单位开展绩效评价。</w:t>
      </w:r>
    </w:p>
    <w:p>
      <w:pPr>
        <w:pStyle w:val="6"/>
        <w:snapToGrid w:val="0"/>
        <w:spacing w:before="0" w:beforeAutospacing="0" w:after="0" w:afterAutospacing="0" w:line="600" w:lineRule="exact"/>
        <w:ind w:firstLine="640" w:firstLineChars="200"/>
        <w:jc w:val="both"/>
        <w:rPr>
          <w:rFonts w:hint="default" w:ascii="方正黑体_GBK" w:hAnsi="楷体" w:eastAsia="方正黑体_GBK" w:cs="楷体"/>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楷体" w:hAnsi="楷体" w:eastAsia="楷体" w:cs="楷体"/>
          <w:color w:val="auto"/>
          <w:sz w:val="32"/>
          <w:szCs w:val="32"/>
          <w:shd w:val="clear" w:color="auto" w:fill="FFFFFF"/>
        </w:rPr>
        <w:t>（十六）对个人和家庭的补助（支出经济分类科目类级）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600" w:lineRule="exact"/>
        <w:ind w:firstLine="640" w:firstLineChars="200"/>
        <w:rPr>
          <w:rFonts w:hint="default" w:ascii="方正黑体_GBK" w:hAnsi="方正仿宋_GBK" w:eastAsia="方正黑体_GBK" w:cs="方正仿宋_GBK"/>
          <w:b w:val="0"/>
          <w:bCs/>
          <w:color w:val="auto"/>
          <w:sz w:val="32"/>
          <w:szCs w:val="32"/>
          <w:shd w:val="clear" w:color="auto" w:fill="FFFFFF"/>
        </w:rPr>
      </w:pPr>
      <w:r>
        <w:rPr>
          <w:rStyle w:val="10"/>
          <w:rFonts w:ascii="方正黑体_GBK" w:hAnsi="黑体" w:eastAsia="方正黑体_GBK" w:cs="黑体"/>
          <w:b w:val="0"/>
          <w:bCs/>
          <w:color w:val="auto"/>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eastAsia="方正仿宋_GBK"/>
          <w:color w:val="auto"/>
          <w:sz w:val="32"/>
        </w:rPr>
        <w:t>罗老师    023-74592725</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单位：</w:t>
            </w:r>
            <w:r>
              <w:rPr>
                <w:color w:val="auto"/>
                <w:sz w:val="20"/>
              </w:rPr>
              <w:t>重庆市垫江第五中学校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5,899.62</w:t>
            </w: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177.09</w:t>
            </w: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4,820.98</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225.00</w:t>
            </w: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1,035.44</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212.39</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251.78</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6,301.71</w:t>
            </w: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6,320.59</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18.88</w:t>
            </w: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4.17</w:t>
            </w:r>
            <w:r>
              <w:rPr>
                <w:rFonts w:ascii="Times New Roman" w:hAnsi="Times New Roman"/>
                <w:color w:val="auto"/>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4.17</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6,324.76</w:t>
            </w:r>
            <w:r>
              <w:rPr>
                <w:rFonts w:ascii="Times New Roman" w:hAnsi="Times New Roman"/>
                <w:color w:val="auto"/>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6,324.76</w:t>
            </w:r>
            <w:r>
              <w:rPr>
                <w:rFonts w:ascii="Times New Roman" w:hAnsi="Times New Roman"/>
                <w:color w:val="auto"/>
                <w:sz w:val="20"/>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rPr>
              <w:t>重庆市垫江第五中学校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6,301.71</w:t>
            </w:r>
            <w:r>
              <w:rPr>
                <w:rFonts w:ascii="Times New Roman" w:hAnsi="Times New Roman"/>
                <w:b/>
                <w:color w:val="auto"/>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5,899.62</w:t>
            </w:r>
            <w:r>
              <w:rPr>
                <w:rFonts w:ascii="Times New Roman" w:hAnsi="Times New Roman"/>
                <w:b/>
                <w:color w:val="auto"/>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177.09</w:t>
            </w:r>
            <w:r>
              <w:rPr>
                <w:rFonts w:ascii="Times New Roman" w:hAnsi="Times New Roman"/>
                <w:b/>
                <w:color w:val="auto"/>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177.09</w:t>
            </w:r>
            <w:r>
              <w:rPr>
                <w:rFonts w:ascii="Times New Roman" w:hAnsi="Times New Roman"/>
                <w:b/>
                <w:color w:val="auto"/>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225.00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4,802.10</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4,400.01</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177.09</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177.09</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4,792.08</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4,389.99</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177.09</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177.09</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225.00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2050203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初中教育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2,872.86</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2,735.68</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137.18</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2050204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高中教育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1,919.22</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1,654.31</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177.09</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177.09</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87.82</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10.02</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10.02</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1,035.44</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1,035.44</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1,022.28</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1,022.28</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522.83</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522.83</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258.60</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258.60</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240.86</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240.86</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13.16</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13.16</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13.16</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13.16</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212.39</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212.39</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251.78</w:t>
            </w:r>
            <w:r>
              <w:rPr>
                <w:rFonts w:ascii="Times New Roman" w:hAnsi="Times New Roman"/>
                <w:color w:val="auto"/>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251.78</w:t>
            </w:r>
            <w:r>
              <w:rPr>
                <w:rFonts w:ascii="Times New Roman" w:hAnsi="Times New Roman"/>
                <w:color w:val="auto"/>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bl>
    <w:p>
      <w:pPr>
        <w:ind w:left="600" w:hanging="600" w:hangingChars="300"/>
        <w:rPr>
          <w:rFonts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rPr>
              <w:t xml:space="preserve">重庆市垫江第五中学校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6,320.59</w:t>
            </w:r>
            <w:r>
              <w:rPr>
                <w:rFonts w:ascii="Times New Roman" w:hAnsi="Times New Roman"/>
                <w:b/>
                <w:color w:val="auto"/>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5,742.23</w:t>
            </w:r>
            <w:r>
              <w:rPr>
                <w:rFonts w:ascii="Times New Roman" w:hAnsi="Times New Roman"/>
                <w:b/>
                <w:color w:val="auto"/>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578.36</w:t>
            </w:r>
            <w:r>
              <w:rPr>
                <w:rFonts w:ascii="Times New Roman" w:hAnsi="Times New Roman"/>
                <w:b/>
                <w:color w:val="auto"/>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4,820.98</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4,243.41</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577.57</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4,810.96</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4,233.39</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577.57</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2,872.86</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2,476.38</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396.48</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2050204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高中教育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1,938.10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1,757.01</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181.09</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10.02</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10.02</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10.02</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1,035.44</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1,034.65</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0.79</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1,022.28</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1,021.49</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0.79</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522.83</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522.83</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258.60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258.60</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240.86</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240.07</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0.79</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13.16</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13.16</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13.16</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13.16</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212.39</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212.39</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251.78</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251.78</w:t>
            </w:r>
            <w:r>
              <w:rPr>
                <w:rFonts w:ascii="Times New Roman" w:hAnsi="Times New Roman"/>
                <w:color w:val="auto"/>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bl>
    <w:p>
      <w:pPr>
        <w:rPr>
          <w:rFonts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p>
    <w:p>
      <w:pPr>
        <w:rPr>
          <w:rFonts w:hint="default" w:cs="宋体"/>
          <w:color w:val="auto"/>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rPr>
              <w:t>重庆市垫江第五中学校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5,899.62</w:t>
            </w: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4,400.01</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4,400.01</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1,035.44</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1,035.44</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212.39</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212.39</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251.78</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251.78</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5,899.62</w:t>
            </w: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5,899.62</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5,899.62</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5,899.62</w:t>
            </w:r>
            <w:r>
              <w:rPr>
                <w:rFonts w:ascii="Times New Roman" w:hAnsi="Times New Roman"/>
                <w:color w:val="auto"/>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5,899.62</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5,899.62</w:t>
            </w:r>
            <w:r>
              <w:rPr>
                <w:rFonts w:ascii="Times New Roman" w:hAnsi="Times New Roman"/>
                <w:color w:val="auto"/>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rPr>
              <w:t>重庆市垫江第五中学校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5,899.62</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5,322.44</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577.18</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4,400.01</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3,823.61</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576.39</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4,389.99</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3,813.60</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576.39</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2,735.68</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2,339.20</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396.48</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2050204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高中教育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1,654.31</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1,474.40</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179.92</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10.02</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10.02</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10.02</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10.02</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1,035.44</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1,034.65</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0.79</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1,022.28</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1,021.49</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0.79</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522.83</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522.83</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258.60</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258.60</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240.86</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240.07</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0.79</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13.16</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13.16</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13.16</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13.16</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212.39</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212.39</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212.39</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251.78</w:t>
            </w:r>
            <w:r>
              <w:rPr>
                <w:rFonts w:ascii="Times New Roman" w:hAnsi="Times New Roman"/>
                <w:b/>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251.78</w:t>
            </w:r>
            <w:r>
              <w:rPr>
                <w:rFonts w:ascii="Times New Roman" w:hAnsi="Times New Roman"/>
                <w:color w:val="auto"/>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251.78</w:t>
            </w:r>
            <w:r>
              <w:rPr>
                <w:rFonts w:ascii="Times New Roman" w:hAnsi="Times New Roman"/>
                <w:color w:val="auto"/>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bl>
    <w:p>
      <w:pPr>
        <w:rPr>
          <w:rFonts w:cs="宋体"/>
          <w:color w:val="auto"/>
          <w:sz w:val="20"/>
          <w:szCs w:val="20"/>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rPr>
              <w:t>重庆市垫江第五中学校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4,987.12</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82.09</w:t>
            </w: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1,118.12</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2.12</w:t>
            </w: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171.82</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2,405.22</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522.83</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258.60</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212.39</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6.75</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251.78</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39.60</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253.22</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7.90</w:t>
            </w: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13.16</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181.57</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14.80</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65.21</w:t>
            </w: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43.70</w:t>
            </w: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6.87</w:t>
            </w: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5,240.34</w:t>
            </w:r>
            <w:r>
              <w:rPr>
                <w:rFonts w:ascii="Times New Roman" w:hAnsi="Times New Roman"/>
                <w:color w:val="auto"/>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82.09</w:t>
            </w:r>
            <w:r>
              <w:rPr>
                <w:rFonts w:ascii="Times New Roman" w:hAnsi="Times New Roman"/>
                <w:color w:val="auto"/>
                <w:sz w:val="18"/>
              </w:rPr>
              <w:t xml:space="preserve"> </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rPr>
              <w:t>重庆市垫江第五中学校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rPr>
              <w:t>重庆市垫江第五中学校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cs="宋体"/>
                <w:color w:val="auto"/>
                <w:kern w:val="2"/>
                <w:sz w:val="20"/>
                <w:szCs w:val="20"/>
              </w:rPr>
              <w:t>单位：</w:t>
            </w:r>
            <w:r>
              <w:rPr>
                <w:color w:val="auto"/>
                <w:sz w:val="20"/>
              </w:rPr>
              <w:t>重庆市垫江第五中学校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0.58</w:t>
            </w:r>
            <w:r>
              <w:rPr>
                <w:rFonts w:ascii="Times New Roman" w:hAnsi="Times New Roman"/>
                <w:color w:val="auto"/>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0.58</w:t>
            </w: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0.58</w:t>
            </w:r>
            <w:r>
              <w:rPr>
                <w:rFonts w:ascii="Times New Roman" w:hAnsi="Times New Roman"/>
                <w:color w:val="auto"/>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0.58</w:t>
            </w: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0.58</w:t>
            </w:r>
            <w:r>
              <w:rPr>
                <w:rFonts w:ascii="Times New Roman" w:hAnsi="Times New Roman"/>
                <w:color w:val="auto"/>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0.58</w:t>
            </w: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w:t>
            </w: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2.62</w:t>
            </w: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2.62</w:t>
            </w: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1.14</w:t>
            </w: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1.14</w:t>
            </w:r>
            <w:r>
              <w:rPr>
                <w:rFonts w:ascii="Times New Roman" w:hAnsi="Times New Roman"/>
                <w:color w:val="auto"/>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auto"/>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18.35</w:t>
            </w: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auto"/>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auto"/>
                <w:sz w:val="16"/>
                <w:szCs w:val="16"/>
              </w:rPr>
            </w:pPr>
            <w:r>
              <w:rPr>
                <w:rFonts w:cs="宋体"/>
                <w:b/>
                <w:bCs/>
                <w:color w:val="auto"/>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19.50</w:t>
            </w:r>
            <w:r>
              <w:rPr>
                <w:rFonts w:ascii="Times New Roman" w:hAnsi="Times New Roman"/>
                <w:color w:val="auto"/>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auto"/>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auto"/>
                <w:sz w:val="16"/>
                <w:szCs w:val="16"/>
              </w:rPr>
            </w:pPr>
          </w:p>
        </w:tc>
      </w:tr>
    </w:tbl>
    <w:p>
      <w:pPr>
        <w:rPr>
          <w:rFonts w:hint="default" w:cs="宋体"/>
          <w:color w:val="auto"/>
          <w:sz w:val="21"/>
          <w:szCs w:val="21"/>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0660B3"/>
    <w:rsid w:val="001D3BB7"/>
    <w:rsid w:val="00266C53"/>
    <w:rsid w:val="002B254B"/>
    <w:rsid w:val="00466C9B"/>
    <w:rsid w:val="00550ABE"/>
    <w:rsid w:val="00770383"/>
    <w:rsid w:val="007819D4"/>
    <w:rsid w:val="007B419D"/>
    <w:rsid w:val="007B7C4B"/>
    <w:rsid w:val="007D3D39"/>
    <w:rsid w:val="00994AF7"/>
    <w:rsid w:val="009B67B8"/>
    <w:rsid w:val="009D2B67"/>
    <w:rsid w:val="00A566F9"/>
    <w:rsid w:val="00AB1B0E"/>
    <w:rsid w:val="00AF2751"/>
    <w:rsid w:val="00B03CCD"/>
    <w:rsid w:val="00BE2B89"/>
    <w:rsid w:val="00C10E9E"/>
    <w:rsid w:val="00C20C3E"/>
    <w:rsid w:val="00C660CC"/>
    <w:rsid w:val="00CF2ACF"/>
    <w:rsid w:val="00CF35A7"/>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CEF6DB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9B208B"/>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04432F"/>
    <w:rsid w:val="383C3F15"/>
    <w:rsid w:val="38BE4696"/>
    <w:rsid w:val="3913402A"/>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017BB5"/>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29245B"/>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9E6795F"/>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8435</Words>
  <Characters>11381</Characters>
  <Lines>101</Lines>
  <Paragraphs>28</Paragraphs>
  <TotalTime>0</TotalTime>
  <ScaleCrop>false</ScaleCrop>
  <LinksUpToDate>false</LinksUpToDate>
  <CharactersWithSpaces>12457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2025-09-22T07:22:22Z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