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重庆市垫江第四中学校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ascii="Times New Roman" w:hAnsi="Times New Roman" w:eastAsia="方正黑体_GBK"/>
          <w:sz w:val="32"/>
        </w:rPr>
      </w:pP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hint="default" w:ascii="Times New Roman" w:hAnsi="Times New Roman" w:eastAsia="方正楷体_GBK"/>
          <w:b/>
          <w:sz w:val="32"/>
          <w:szCs w:val="21"/>
        </w:rPr>
      </w:pPr>
      <w:r>
        <w:rPr>
          <w:rFonts w:ascii="Times New Roman" w:hAnsi="方正楷体_GBK" w:eastAsia="方正楷体_GBK"/>
          <w:b/>
          <w:sz w:val="32"/>
          <w:szCs w:val="21"/>
        </w:rPr>
        <w:t>（一）职能职责</w:t>
      </w:r>
    </w:p>
    <w:p>
      <w:pPr>
        <w:spacing w:line="600" w:lineRule="exact"/>
        <w:ind w:firstLine="640" w:firstLineChars="200"/>
        <w:rPr>
          <w:rFonts w:hint="default" w:ascii="Times New Roman" w:hAnsi="Times New Roman" w:eastAsia="方正仿宋_GBK"/>
          <w:sz w:val="32"/>
        </w:rPr>
      </w:pPr>
      <w:r>
        <w:rPr>
          <w:rFonts w:ascii="Times New Roman" w:hAnsi="Times New Roman" w:eastAsia="方正仿宋_GBK"/>
          <w:sz w:val="32"/>
        </w:rPr>
        <w:t>负责普通高中学历教育，为高一级学校输送人才；负责适龄青少年义务教育工作。</w:t>
      </w:r>
    </w:p>
    <w:p>
      <w:pPr>
        <w:spacing w:line="600" w:lineRule="exact"/>
        <w:ind w:firstLine="643" w:firstLineChars="200"/>
        <w:rPr>
          <w:rFonts w:hint="default" w:ascii="Times New Roman" w:hAnsi="Times New Roman" w:eastAsia="方正仿宋_GBK"/>
          <w:sz w:val="32"/>
        </w:rPr>
      </w:pPr>
      <w:r>
        <w:rPr>
          <w:rFonts w:ascii="方正楷体_GBK" w:eastAsia="方正楷体_GBK"/>
          <w:b/>
          <w:sz w:val="32"/>
          <w:szCs w:val="32"/>
        </w:rPr>
        <w:t>（二）机构设置</w:t>
      </w:r>
    </w:p>
    <w:p>
      <w:pPr>
        <w:pStyle w:val="6"/>
        <w:shd w:val="clear" w:color="auto" w:fill="FFFFFF"/>
        <w:spacing w:before="0" w:beforeAutospacing="0" w:after="0" w:afterAutospacing="0" w:line="596" w:lineRule="exact"/>
        <w:ind w:firstLine="640" w:firstLineChars="200"/>
        <w:rPr>
          <w:rFonts w:ascii="方正仿宋_GBK" w:eastAsia="方正仿宋_GBK"/>
          <w:sz w:val="32"/>
          <w:szCs w:val="32"/>
        </w:rPr>
      </w:pPr>
      <w:r>
        <w:rPr>
          <w:rFonts w:ascii="方正仿宋_GBK" w:eastAsia="方正仿宋_GBK"/>
          <w:sz w:val="32"/>
          <w:szCs w:val="32"/>
        </w:rPr>
        <w:t>重庆市垫江第四中学校单位领导职数4名（党总支书记1名，校长1名、副校长2名），内设机构领导职数5名，内设机构设有办公室、教务处、后勤处、教科处、德育处.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2024年度收入总计4631.52万元，支出总计</w:t>
      </w:r>
      <w:r>
        <w:rPr>
          <w:rFonts w:ascii="方正仿宋_GBK" w:hAnsi="方正仿宋_GBK" w:eastAsia="方正仿宋_GBK" w:cs="方正仿宋_GBK"/>
          <w:sz w:val="32"/>
          <w:szCs w:val="32"/>
        </w:rPr>
        <w:t>4631.52</w:t>
      </w:r>
      <w:r>
        <w:rPr>
          <w:rFonts w:ascii="方正仿宋_GBK" w:hAnsi="方正仿宋_GBK" w:eastAsia="方正仿宋_GBK" w:cs="方正仿宋_GBK"/>
          <w:sz w:val="32"/>
          <w:szCs w:val="32"/>
          <w:shd w:val="clear" w:color="auto" w:fill="FFFFFF"/>
        </w:rPr>
        <w:t>万元。收、支与2023年度相比，减少686.32万元，下降12.9%，主要原因是2023年清算补发以前年度超额绩效、健康休养费。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2024年度收入合计4631.52万元，与2023年度相比，减少686.32万元，下降12.9%，主要原因是2023年清算补发以前年度超额绩效、健康休养费。其中：财政拨款收入</w:t>
      </w:r>
      <w:r>
        <w:rPr>
          <w:rFonts w:ascii="方正仿宋_GBK" w:hAnsi="方正仿宋_GBK" w:eastAsia="方正仿宋_GBK" w:cs="方正仿宋_GBK"/>
          <w:sz w:val="32"/>
          <w:szCs w:val="32"/>
        </w:rPr>
        <w:t>4341.23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201.22</w:t>
      </w:r>
      <w:r>
        <w:rPr>
          <w:rFonts w:ascii="方正仿宋_GBK" w:hAnsi="方正仿宋_GBK" w:eastAsia="方正仿宋_GBK" w:cs="方正仿宋_GBK"/>
          <w:sz w:val="32"/>
          <w:szCs w:val="32"/>
          <w:shd w:val="clear" w:color="auto" w:fill="FFFFFF"/>
        </w:rPr>
        <w:t>万元，占4.3%；经营收入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89.07</w:t>
      </w:r>
      <w:r>
        <w:rPr>
          <w:rFonts w:ascii="方正仿宋_GBK" w:hAnsi="方正仿宋_GBK" w:eastAsia="方正仿宋_GBK" w:cs="方正仿宋_GBK"/>
          <w:sz w:val="32"/>
          <w:szCs w:val="32"/>
          <w:shd w:val="clear" w:color="auto" w:fill="FFFFFF"/>
        </w:rPr>
        <w:t>万元，占1.9%。此外，使用非财政拨款结余和专用结余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4626.91</w:t>
      </w:r>
      <w:r>
        <w:rPr>
          <w:rFonts w:ascii="方正仿宋_GBK" w:hAnsi="方正仿宋_GBK" w:eastAsia="方正仿宋_GBK" w:cs="方正仿宋_GBK"/>
          <w:sz w:val="32"/>
          <w:szCs w:val="32"/>
          <w:shd w:val="clear" w:color="auto" w:fill="FFFFFF"/>
        </w:rPr>
        <w:t>万元，与2023年度相比，减少624.70万元，下降11.9%，主要原因是2023年清算补发以前年度超额绩效、健康休养费。其中：基本支出</w:t>
      </w:r>
      <w:r>
        <w:rPr>
          <w:rFonts w:ascii="方正仿宋_GBK" w:hAnsi="方正仿宋_GBK" w:eastAsia="方正仿宋_GBK" w:cs="方正仿宋_GBK"/>
          <w:sz w:val="32"/>
          <w:szCs w:val="32"/>
        </w:rPr>
        <w:t>4314.64</w:t>
      </w:r>
      <w:r>
        <w:rPr>
          <w:rFonts w:ascii="方正仿宋_GBK" w:hAnsi="方正仿宋_GBK" w:eastAsia="方正仿宋_GBK" w:cs="方正仿宋_GBK"/>
          <w:sz w:val="32"/>
          <w:szCs w:val="32"/>
          <w:shd w:val="clear" w:color="auto" w:fill="FFFFFF"/>
        </w:rPr>
        <w:t>万元，占93.3%；项目支出</w:t>
      </w:r>
      <w:r>
        <w:rPr>
          <w:rFonts w:ascii="方正仿宋_GBK" w:hAnsi="方正仿宋_GBK" w:eastAsia="方正仿宋_GBK" w:cs="方正仿宋_GBK"/>
          <w:sz w:val="32"/>
          <w:szCs w:val="32"/>
        </w:rPr>
        <w:t>312.27</w:t>
      </w:r>
      <w:r>
        <w:rPr>
          <w:rFonts w:ascii="方正仿宋_GBK" w:hAnsi="方正仿宋_GBK" w:eastAsia="方正仿宋_GBK" w:cs="方正仿宋_GBK"/>
          <w:sz w:val="32"/>
          <w:szCs w:val="32"/>
          <w:shd w:val="clear" w:color="auto" w:fill="FFFFFF"/>
        </w:rPr>
        <w:t>万元，占6.8%；经营支出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4.61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万元，与2023年度相比，无增减，主要原因是2023年、2024年均无结转结余资金。</w:t>
      </w:r>
    </w:p>
    <w:p>
      <w:pPr>
        <w:pStyle w:val="11"/>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2024年度财政拨款收、支总计4341.23万元。与2023年相比，财政拨款收、支总计各减少572.46万元，下降11.7%。主要原因是2023年清算补发以前年度超额绩效、健康休养费。</w:t>
      </w:r>
    </w:p>
    <w:p>
      <w:pPr>
        <w:pStyle w:val="11"/>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4341.23</w:t>
      </w:r>
      <w:r>
        <w:rPr>
          <w:rFonts w:ascii="方正仿宋_GBK" w:hAnsi="方正仿宋_GBK" w:eastAsia="方正仿宋_GBK" w:cs="方正仿宋_GBK"/>
          <w:sz w:val="32"/>
          <w:szCs w:val="32"/>
          <w:shd w:val="clear" w:color="auto" w:fill="FFFFFF"/>
        </w:rPr>
        <w:t>万元，与2023年度相比，减少572.46万元，下降11.7%。主要原因是2023年清算补发以前年度超额绩效、健康休养费。较年初预算数增加450.25万元，增长11.6%。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4341.23</w:t>
      </w:r>
      <w:r>
        <w:rPr>
          <w:rFonts w:ascii="方正仿宋_GBK" w:hAnsi="方正仿宋_GBK" w:eastAsia="方正仿宋_GBK" w:cs="方正仿宋_GBK"/>
          <w:sz w:val="32"/>
          <w:szCs w:val="32"/>
          <w:shd w:val="clear" w:color="auto" w:fill="FFFFFF"/>
        </w:rPr>
        <w:t>万元，与2023年度相比，减少572.46万元，下降11.7%。主要原因是2023年清算补发以前年度超额绩效、健康休养费。较年初预算数增加450.25万元，增长11.6%。主要原因是超额绩效纳入养老保险和职业年金基数。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r>
        <w:rPr>
          <w:rFonts w:hint="default" w:ascii="方正仿宋_GBK" w:hAnsi="方正仿宋_GBK" w:eastAsia="方正仿宋_GBK" w:cs="方正仿宋_GBK"/>
          <w:sz w:val="32"/>
          <w:szCs w:val="32"/>
        </w:rPr>
        <w:t xml:space="preserve"> </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3243.86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74.7%</w:t>
      </w:r>
      <w:r>
        <w:rPr>
          <w:rFonts w:ascii="方正仿宋_GBK" w:hAnsi="方正仿宋_GBK" w:eastAsia="方正仿宋_GBK" w:cs="方正仿宋_GBK"/>
          <w:sz w:val="32"/>
          <w:szCs w:val="32"/>
          <w:shd w:val="clear" w:color="auto" w:fill="FFFFFF"/>
        </w:rPr>
        <w:t>，较年初预算数增加245.06万元，增长8.2%，主要原因是本年预算执行中将超额绩效纳入养老保险和职业年金基数增加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bookmarkStart w:id="0" w:name="_GoBack"/>
      <w:bookmarkEnd w:id="0"/>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727.34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16.8%</w:t>
      </w:r>
      <w:r>
        <w:rPr>
          <w:rFonts w:ascii="方正仿宋_GBK" w:hAnsi="方正仿宋_GBK" w:eastAsia="方正仿宋_GBK" w:cs="方正仿宋_GBK"/>
          <w:sz w:val="32"/>
          <w:szCs w:val="32"/>
          <w:shd w:val="clear" w:color="auto" w:fill="FFFFFF"/>
        </w:rPr>
        <w:t>，较年初预算数增加215.35万元，增长42.1%，主要原因是本年预算执行中将超额绩效纳入养老保险和职业年金基数增加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169.24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w:t>
      </w:r>
      <w:r>
        <w:rPr>
          <w:rFonts w:ascii="方正仿宋_GBK" w:hAnsi="方正仿宋_GBK" w:eastAsia="方正仿宋_GBK" w:cs="方正仿宋_GBK"/>
          <w:sz w:val="32"/>
          <w:szCs w:val="32"/>
          <w:shd w:val="clear" w:color="auto" w:fill="FFFFFF"/>
        </w:rPr>
        <w:t>，较年初预算数减少3.57万元，下降2.1%，主要原因是本年预算执行中因教职工退休减少了缴费基数。</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住房保障支出200.79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4.6%</w:t>
      </w:r>
      <w:r>
        <w:rPr>
          <w:rFonts w:ascii="方正仿宋_GBK" w:hAnsi="方正仿宋_GBK" w:eastAsia="方正仿宋_GBK" w:cs="方正仿宋_GBK"/>
          <w:sz w:val="32"/>
          <w:szCs w:val="32"/>
          <w:shd w:val="clear" w:color="auto" w:fill="FFFFFF"/>
        </w:rPr>
        <w:t>，较年初预算数减少6.58万元，下降3.2%，主要原因是本年预算执行中因教职工退休减少了缴费基数。</w:t>
      </w:r>
    </w:p>
    <w:p>
      <w:pPr>
        <w:pStyle w:val="11"/>
        <w:autoSpaceDE w:val="0"/>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4041.49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3979.96</w:t>
      </w:r>
      <w:r>
        <w:rPr>
          <w:rFonts w:ascii="方正仿宋_GBK" w:hAnsi="方正仿宋_GBK" w:eastAsia="方正仿宋_GBK" w:cs="方正仿宋_GBK"/>
          <w:sz w:val="32"/>
          <w:szCs w:val="32"/>
          <w:shd w:val="clear" w:color="auto" w:fill="FFFFFF"/>
        </w:rPr>
        <w:t>万元，与2023年度相比，减少519.99万元，下降11.6%，主要原因是2023年清算补发以前年度超额绩效、健康休养费。人员经费用途主要包括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61.52</w:t>
      </w:r>
      <w:r>
        <w:rPr>
          <w:rFonts w:ascii="方正仿宋_GBK" w:hAnsi="方正仿宋_GBK" w:eastAsia="方正仿宋_GBK" w:cs="方正仿宋_GBK"/>
          <w:sz w:val="32"/>
          <w:szCs w:val="32"/>
          <w:shd w:val="clear" w:color="auto" w:fill="FFFFFF"/>
        </w:rPr>
        <w:t>万元，与2023年度相比，减少6.74万元，下降9.9%，主要原因是工会经费、培训费、福利费的预算基数减少所致。公用经费用途主要包括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12.33</w:t>
      </w:r>
      <w:r>
        <w:rPr>
          <w:rFonts w:ascii="方正仿宋_GBK" w:hAnsi="方正仿宋_GBK" w:eastAsia="方正仿宋_GBK" w:cs="方正仿宋_GBK"/>
          <w:sz w:val="32"/>
          <w:szCs w:val="32"/>
          <w:shd w:val="clear" w:color="auto" w:fill="FFFFFF"/>
        </w:rPr>
        <w:t>万元，与2023年度相比，减少5.83万元，下降32.1%，主要原因是学校压缩公用经费支出，减少了师资队伍的培训</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hd w:val="clear" w:color="auto" w:fill="FFFFFF"/>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根据预算绩效管理要求，我单位对12个二级项目开展了绩效自评，涉及财政拨款项目支出资金299.74万元。</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10835" cy="5126990"/>
            <wp:effectExtent l="0" t="0" r="889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410835" cy="5126990"/>
                    </a:xfrm>
                    <a:prstGeom prst="rect">
                      <a:avLst/>
                    </a:prstGeom>
                    <a:noFill/>
                    <a:ln>
                      <a:noFill/>
                    </a:ln>
                  </pic:spPr>
                </pic:pic>
              </a:graphicData>
            </a:graphic>
          </wp:inline>
        </w:drawing>
      </w:r>
      <w:r>
        <w:drawing>
          <wp:inline distT="0" distB="0" distL="114300" distR="114300">
            <wp:extent cx="5263515" cy="4820285"/>
            <wp:effectExtent l="0" t="0" r="381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63515" cy="482028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七、决算公开联系方式及信息反馈渠道</w:t>
      </w:r>
    </w:p>
    <w:p>
      <w:pPr>
        <w:pStyle w:val="6"/>
        <w:shd w:val="clear" w:color="auto" w:fill="FFFFFF"/>
        <w:spacing w:before="0" w:beforeAutospacing="0" w:after="0" w:afterAutospacing="0" w:line="600" w:lineRule="atLeast"/>
        <w:ind w:firstLine="640" w:firstLineChars="200"/>
        <w:rPr>
          <w:rFonts w:ascii="方正黑体_GBK" w:hAnsi="方正仿宋_GBK" w:eastAsia="方正黑体_GBK" w:cs="方正仿宋_GBK"/>
          <w:b/>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eastAsia="方正仿宋_GBK"/>
          <w:sz w:val="32"/>
          <w:szCs w:val="32"/>
        </w:rPr>
        <w:t>钟老师    023-64529588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重庆市垫江第四中学校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4,341.23</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201.22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3,529.54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89.07</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727.34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169.24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200.79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4,631.52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4,626.91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4,631.52</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4,631.52</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194" w:type="dxa"/>
        <w:tblInd w:w="0" w:type="dxa"/>
        <w:tblLayout w:type="fixed"/>
        <w:tblCellMar>
          <w:top w:w="0" w:type="dxa"/>
          <w:left w:w="0" w:type="dxa"/>
          <w:bottom w:w="0" w:type="dxa"/>
          <w:right w:w="0" w:type="dxa"/>
        </w:tblCellMar>
      </w:tblPr>
      <w:tblGrid>
        <w:gridCol w:w="1429"/>
        <w:gridCol w:w="3249"/>
        <w:gridCol w:w="1250"/>
        <w:gridCol w:w="1448"/>
        <w:gridCol w:w="1256"/>
        <w:gridCol w:w="1436"/>
        <w:gridCol w:w="1460"/>
        <w:gridCol w:w="1293"/>
        <w:gridCol w:w="1349"/>
        <w:gridCol w:w="1024"/>
      </w:tblGrid>
      <w:tr>
        <w:tblPrEx>
          <w:tblLayout w:type="fixed"/>
          <w:tblCellMar>
            <w:top w:w="0" w:type="dxa"/>
            <w:left w:w="0" w:type="dxa"/>
            <w:bottom w:w="0" w:type="dxa"/>
            <w:right w:w="0" w:type="dxa"/>
          </w:tblCellMar>
        </w:tblPrEx>
        <w:trPr>
          <w:trHeight w:val="641" w:hRule="atLeast"/>
        </w:trPr>
        <w:tc>
          <w:tcPr>
            <w:tcW w:w="15194"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重庆市垫江第四中学校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2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2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46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40" w:hRule="exac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4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4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46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4,631.52</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4,341.23</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201.22</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201.22</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0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89.07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3,534.15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3,243.86</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201.22</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201.22</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89.07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3,526.36</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3,236.07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201.22</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201.22</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89.07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1,794.81</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1,725.85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3.39</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3.39</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65.58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1,731.55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1,510.23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197.83</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197.83</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23.49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7.79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7.79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727.34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727.34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719.15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719.15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401.09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401.09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200.84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200.84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169.24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169.24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200.79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200.79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重庆市垫江第四中学校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4,626.91</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4,314.64</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312.27</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3,529.54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3,217.62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311.92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3,521.75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3,209.83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311.92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1,794.81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1,588.50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206.31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1,726.94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1,621.33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105.61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7.79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7.79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727.34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726.99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0.36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719.15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718.80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0.36</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401.09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401.09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200.84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200.84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116.86</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0.36</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8.19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8.19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169.24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169.24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200.79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200.79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重庆市垫江第四中学校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3,243.86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3,243.86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727.34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727.34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169.24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169.24</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200.79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200.79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4,341.23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重庆市垫江第四中学校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4,341.23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4,041.49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299.74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3,243.86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2,944.47</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299.39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3,236.07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2,936.68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299.39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1,725.85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1,519.53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206.31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1,510.23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1,417.15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93.08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7.79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7.79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7.79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7.79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727.34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726.99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0.36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719.15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718.80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0.36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401.09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401.09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200.84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200.84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117.22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116.86</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0.36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8.19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8.19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8.19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169.24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169.24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169.24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200.79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200.79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200.79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重庆市垫江第四中学校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3,854.91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869.17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135.25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1,842.70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401.09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200.84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169.24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200.79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30.64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125.05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7.79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8.19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85.80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6.80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33.62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24.26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19.00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3,979.96</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61.52</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重庆市垫江第四中学校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重庆市垫江第四中学校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重庆市垫江第四中学校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0.32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0.32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0.32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0.32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12.33</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7.98</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3D3DC3"/>
    <w:rsid w:val="0044504F"/>
    <w:rsid w:val="00466C9B"/>
    <w:rsid w:val="00486CFC"/>
    <w:rsid w:val="00491DDD"/>
    <w:rsid w:val="00550ABE"/>
    <w:rsid w:val="00623A85"/>
    <w:rsid w:val="00770383"/>
    <w:rsid w:val="007819D4"/>
    <w:rsid w:val="007B419D"/>
    <w:rsid w:val="007B7C4B"/>
    <w:rsid w:val="007D3D39"/>
    <w:rsid w:val="008C6CAE"/>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D54E0"/>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B4446C"/>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D74BA3"/>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B5178C"/>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B5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8388</Words>
  <Characters>11196</Characters>
  <Lines>100</Lines>
  <Paragraphs>28</Paragraphs>
  <TotalTime>0</TotalTime>
  <ScaleCrop>false</ScaleCrop>
  <LinksUpToDate>false</LinksUpToDate>
  <CharactersWithSpaces>12273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2025-09-22T07:20:44Z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