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重庆市垫江第三中学校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hint="default" w:ascii="Times New Roman" w:hAnsi="Times New Roman" w:eastAsia="方正黑体_GBK"/>
          <w:sz w:val="32"/>
        </w:rPr>
      </w:pPr>
      <w:r>
        <w:rPr>
          <w:rFonts w:ascii="Times New Roman" w:hAnsi="Times New Roman" w:eastAsia="方正黑体_GBK"/>
          <w:sz w:val="32"/>
        </w:rPr>
        <w:t>一、单位基本情况</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hint="default" w:ascii="Times New Roman" w:hAnsi="Times New Roman" w:eastAsia="方正楷体_GBK"/>
          <w:b/>
          <w:sz w:val="32"/>
          <w:szCs w:val="21"/>
        </w:rPr>
      </w:pPr>
      <w:r>
        <w:rPr>
          <w:rFonts w:ascii="Times New Roman" w:hAnsi="方正楷体_GBK" w:eastAsia="方正楷体_GBK"/>
          <w:b/>
          <w:sz w:val="32"/>
          <w:szCs w:val="21"/>
        </w:rPr>
        <w:t>（一）职能职责</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hint="default" w:ascii="Times New Roman" w:hAnsi="Times New Roman" w:eastAsia="方正仿宋_GBK"/>
          <w:sz w:val="32"/>
        </w:rPr>
      </w:pPr>
      <w:r>
        <w:rPr>
          <w:rFonts w:eastAsia="方正仿宋_GBK"/>
          <w:sz w:val="32"/>
          <w:szCs w:val="32"/>
        </w:rPr>
        <w:t>负责普通高中学历教育，为高一级学校输送人才；负责适龄青少年义务教育工作</w:t>
      </w:r>
      <w:r>
        <w:rPr>
          <w:rFonts w:ascii="Times New Roman" w:hAnsi="Times New Roman" w:eastAsia="方正仿宋_GBK"/>
          <w:sz w:val="32"/>
        </w:rPr>
        <w:t>。</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hint="default" w:ascii="Times New Roman" w:hAnsi="Times New Roman" w:eastAsia="方正仿宋_GBK"/>
          <w:sz w:val="32"/>
        </w:rPr>
      </w:pPr>
      <w:r>
        <w:rPr>
          <w:rFonts w:ascii="方正楷体_GBK" w:eastAsia="方正楷体_GBK"/>
          <w:b/>
          <w:sz w:val="32"/>
          <w:szCs w:val="32"/>
        </w:rPr>
        <w:t>（二）机构设置</w:t>
      </w:r>
    </w:p>
    <w:p>
      <w:pPr>
        <w:pStyle w:val="6"/>
        <w:keepNext w:val="0"/>
        <w:keepLines w:val="0"/>
        <w:pageBreakBefore w:val="0"/>
        <w:shd w:val="clear" w:color="auto" w:fill="FFFFFF"/>
        <w:kinsoku/>
        <w:overflowPunct/>
        <w:topLinePunct w:val="0"/>
        <w:autoSpaceDN/>
        <w:bidi w:val="0"/>
        <w:adjustRightInd w:val="0"/>
        <w:snapToGrid w:val="0"/>
        <w:spacing w:before="0" w:beforeAutospacing="0" w:after="0" w:afterAutospacing="0" w:line="594" w:lineRule="atLeast"/>
        <w:ind w:left="0" w:right="0" w:rightChars="0" w:firstLine="640" w:firstLineChars="200"/>
        <w:rPr>
          <w:rFonts w:hint="default" w:ascii="方正仿宋_GBK" w:eastAsia="方正仿宋_GBK"/>
          <w:sz w:val="32"/>
          <w:szCs w:val="32"/>
        </w:rPr>
      </w:pPr>
      <w:r>
        <w:rPr>
          <w:rFonts w:eastAsia="方正仿宋_GBK"/>
          <w:sz w:val="32"/>
          <w:szCs w:val="32"/>
        </w:rPr>
        <w:t>重庆市垫江第三中学校单位领导职数4名（校长1名、副校长3名），内设机构领导职数5名，内设机构设有办公室、教务处、后勤处、教科处、德育处</w:t>
      </w:r>
      <w:r>
        <w:rPr>
          <w:rFonts w:ascii="方正仿宋_GBK" w:eastAsia="方正仿宋_GBK"/>
          <w:sz w:val="32"/>
          <w:szCs w:val="32"/>
        </w:rPr>
        <w:t>。</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ascii="Times New Roman" w:hAnsi="Times New Roman" w:eastAsia="方正黑体_GBK"/>
          <w:sz w:val="32"/>
        </w:rPr>
      </w:pPr>
      <w:r>
        <w:rPr>
          <w:rFonts w:ascii="Times New Roman" w:hAnsi="Times New Roman" w:eastAsia="方正黑体_GBK"/>
          <w:sz w:val="32"/>
        </w:rPr>
        <w:t>二、单位决算收支情况说明</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2024年度收入总计6783.23万元，支出总计</w:t>
      </w:r>
      <w:r>
        <w:rPr>
          <w:rFonts w:ascii="方正仿宋_GBK" w:hAnsi="方正仿宋_GBK" w:eastAsia="方正仿宋_GBK" w:cs="方正仿宋_GBK"/>
          <w:sz w:val="32"/>
          <w:szCs w:val="32"/>
        </w:rPr>
        <w:t>6783.23</w:t>
      </w:r>
      <w:r>
        <w:rPr>
          <w:rFonts w:ascii="方正仿宋_GBK" w:hAnsi="方正仿宋_GBK" w:eastAsia="方正仿宋_GBK" w:cs="方正仿宋_GBK"/>
          <w:sz w:val="32"/>
          <w:szCs w:val="32"/>
          <w:shd w:val="clear" w:color="auto" w:fill="FFFFFF"/>
        </w:rPr>
        <w:t>万元。收、支与2023年度相比，减少1212.94万元，下降15.2%，主要原因是2023年清算补发以前年度超额绩效、健康休养费及校舍建设项目经费减少。</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2024年度收入合计6719.69万元，与2023年度相比，减少1189.65万元，下降15.0%，主要原因是2023年清算补发以前年度超额绩效、健康休养费及校舍建设项目经费减少。其中：财政拨款收入</w:t>
      </w:r>
      <w:r>
        <w:rPr>
          <w:rFonts w:ascii="方正仿宋_GBK" w:hAnsi="方正仿宋_GBK" w:eastAsia="方正仿宋_GBK" w:cs="方正仿宋_GBK"/>
          <w:sz w:val="32"/>
          <w:szCs w:val="32"/>
        </w:rPr>
        <w:t>6332.47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94.2%</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254.86</w:t>
      </w:r>
      <w:r>
        <w:rPr>
          <w:rFonts w:ascii="方正仿宋_GBK" w:hAnsi="方正仿宋_GBK" w:eastAsia="方正仿宋_GBK" w:cs="方正仿宋_GBK"/>
          <w:sz w:val="32"/>
          <w:szCs w:val="32"/>
          <w:shd w:val="clear" w:color="auto" w:fill="FFFFFF"/>
        </w:rPr>
        <w:t>万元，占3.8%；经营收入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132.36</w:t>
      </w:r>
      <w:r>
        <w:rPr>
          <w:rFonts w:ascii="方正仿宋_GBK" w:hAnsi="方正仿宋_GBK" w:eastAsia="方正仿宋_GBK" w:cs="方正仿宋_GBK"/>
          <w:sz w:val="32"/>
          <w:szCs w:val="32"/>
          <w:shd w:val="clear" w:color="auto" w:fill="FFFFFF"/>
        </w:rPr>
        <w:t>万元，占2.0%。此外，使用非财政拨款结余和专用结余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63.54</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6748.53</w:t>
      </w:r>
      <w:r>
        <w:rPr>
          <w:rFonts w:ascii="方正仿宋_GBK" w:hAnsi="方正仿宋_GBK" w:eastAsia="方正仿宋_GBK" w:cs="方正仿宋_GBK"/>
          <w:sz w:val="32"/>
          <w:szCs w:val="32"/>
          <w:shd w:val="clear" w:color="auto" w:fill="FFFFFF"/>
        </w:rPr>
        <w:t>万元，与2023年度相比，减少1159.85万元，下降14.7%，主要原因是2023年清算补发以前年度超额绩效、健康休养费及校舍建设项目经费减少。其中：基本支出</w:t>
      </w:r>
      <w:r>
        <w:rPr>
          <w:rFonts w:ascii="方正仿宋_GBK" w:hAnsi="方正仿宋_GBK" w:eastAsia="方正仿宋_GBK" w:cs="方正仿宋_GBK"/>
          <w:sz w:val="32"/>
          <w:szCs w:val="32"/>
        </w:rPr>
        <w:t>6032.86</w:t>
      </w:r>
      <w:r>
        <w:rPr>
          <w:rFonts w:ascii="方正仿宋_GBK" w:hAnsi="方正仿宋_GBK" w:eastAsia="方正仿宋_GBK" w:cs="方正仿宋_GBK"/>
          <w:sz w:val="32"/>
          <w:szCs w:val="32"/>
          <w:shd w:val="clear" w:color="auto" w:fill="FFFFFF"/>
        </w:rPr>
        <w:t>万元，占89.4%；项目支出</w:t>
      </w:r>
      <w:r>
        <w:rPr>
          <w:rFonts w:ascii="方正仿宋_GBK" w:hAnsi="方正仿宋_GBK" w:eastAsia="方正仿宋_GBK" w:cs="方正仿宋_GBK"/>
          <w:sz w:val="32"/>
          <w:szCs w:val="32"/>
        </w:rPr>
        <w:t>715.67</w:t>
      </w:r>
      <w:r>
        <w:rPr>
          <w:rFonts w:ascii="方正仿宋_GBK" w:hAnsi="方正仿宋_GBK" w:eastAsia="方正仿宋_GBK" w:cs="方正仿宋_GBK"/>
          <w:sz w:val="32"/>
          <w:szCs w:val="32"/>
          <w:shd w:val="clear" w:color="auto" w:fill="FFFFFF"/>
        </w:rPr>
        <w:t>万元，占10.6%；经营支出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26.69</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万元，与2023年度相比，增加8.00万元，增长100.0%，主要原因是2024年主管部门拨入专项经费年末未能及时支付。</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2024年度财政拨款收、支总计6333.31万元。与2023年相比，财政拨款收、支总计各减少1099.00万元，下降14.8%。主要原因是2023年清算补发以前年度超额绩效、健康休养费及校舍建设项目经费减少。</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6332.47</w:t>
      </w:r>
      <w:r>
        <w:rPr>
          <w:rFonts w:ascii="方正仿宋_GBK" w:hAnsi="方正仿宋_GBK" w:eastAsia="方正仿宋_GBK" w:cs="方正仿宋_GBK"/>
          <w:sz w:val="32"/>
          <w:szCs w:val="32"/>
          <w:shd w:val="clear" w:color="auto" w:fill="FFFFFF"/>
        </w:rPr>
        <w:t>万元，与2023年度相比，减少1045.86万元，下降14.2%。主要原因是2023年清算补发以前年度超额绩效、健康休养费及校舍建设项目经费减少。较年初预算数增加521.52万元，增长9.0%。主要原因是超额绩效纳入养老保险和职业年金基数。此外，年初财政拨款结转和结余</w:t>
      </w:r>
      <w:r>
        <w:rPr>
          <w:rFonts w:ascii="方正仿宋_GBK" w:hAnsi="方正仿宋_GBK" w:eastAsia="方正仿宋_GBK" w:cs="方正仿宋_GBK"/>
          <w:sz w:val="32"/>
          <w:szCs w:val="32"/>
        </w:rPr>
        <w:t>0.84</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6333.31</w:t>
      </w:r>
      <w:r>
        <w:rPr>
          <w:rFonts w:ascii="方正仿宋_GBK" w:hAnsi="方正仿宋_GBK" w:eastAsia="方正仿宋_GBK" w:cs="方正仿宋_GBK"/>
          <w:sz w:val="32"/>
          <w:szCs w:val="32"/>
          <w:shd w:val="clear" w:color="auto" w:fill="FFFFFF"/>
        </w:rPr>
        <w:t>万元，与2023年度相比，减少1099.00万元，下降14.8%。主要原因是2023年清算补发以前年度超额绩效、健康休养费及校舍建设项目经费减少。较年初预算数增加522.36万元，增长9.0%。主要原因是超额绩效纳入养老保险和职业年金基数。</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4706.46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74.3%</w:t>
      </w:r>
      <w:r>
        <w:rPr>
          <w:rFonts w:ascii="方正仿宋_GBK" w:hAnsi="方正仿宋_GBK" w:eastAsia="方正仿宋_GBK" w:cs="方正仿宋_GBK"/>
          <w:sz w:val="32"/>
          <w:szCs w:val="32"/>
          <w:shd w:val="clear" w:color="auto" w:fill="FFFFFF"/>
        </w:rPr>
        <w:t>，较年初预算数增加202.58万元，增长4.5%，主要原因是本年预算执行中教职工正常晋升、岗位职级变化等人员经费增加所致。</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1107.33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17.5%</w:t>
      </w:r>
      <w:r>
        <w:rPr>
          <w:rFonts w:ascii="方正仿宋_GBK" w:hAnsi="方正仿宋_GBK" w:eastAsia="方正仿宋_GBK" w:cs="方正仿宋_GBK"/>
          <w:sz w:val="32"/>
          <w:szCs w:val="32"/>
          <w:shd w:val="clear" w:color="auto" w:fill="FFFFFF"/>
        </w:rPr>
        <w:t>，较年初预算数增加326.89万元，增长41.9%，主要原因是本年预算执行中将超额绩效纳入养老保险和职业年金基数增加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237.50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w:t>
      </w:r>
      <w:r>
        <w:rPr>
          <w:rFonts w:ascii="方正仿宋_GBK" w:hAnsi="方正仿宋_GBK" w:eastAsia="方正仿宋_GBK" w:cs="方正仿宋_GBK"/>
          <w:sz w:val="32"/>
          <w:szCs w:val="32"/>
          <w:shd w:val="clear" w:color="auto" w:fill="FFFFFF"/>
        </w:rPr>
        <w:t>，较年初预算数减少1.88万元，下降0.8%，主要原因是本年预算执行中教职工退休减少了缴费基数。</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住房保障支出282.01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w:t>
      </w:r>
      <w:r>
        <w:rPr>
          <w:rFonts w:ascii="方正仿宋_GBK" w:hAnsi="方正仿宋_GBK" w:eastAsia="方正仿宋_GBK" w:cs="方正仿宋_GBK"/>
          <w:sz w:val="32"/>
          <w:szCs w:val="32"/>
          <w:shd w:val="clear" w:color="auto" w:fill="FFFFFF"/>
        </w:rPr>
        <w:t>，较年初预算数减少5.25万元，下降1.8%，主要原因是本年预算执行中教职工退休减少了缴费基数。</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5708.32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5623.43</w:t>
      </w:r>
      <w:r>
        <w:rPr>
          <w:rFonts w:ascii="方正仿宋_GBK" w:hAnsi="方正仿宋_GBK" w:eastAsia="方正仿宋_GBK" w:cs="方正仿宋_GBK"/>
          <w:sz w:val="32"/>
          <w:szCs w:val="32"/>
          <w:shd w:val="clear" w:color="auto" w:fill="FFFFFF"/>
        </w:rPr>
        <w:t>万元，与2023年度相比，减少600.43万元，下降9.7%，主要原因是2023年清算补发以前年度超额绩效、健康休养费。人员经费用途主要包括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84.89</w:t>
      </w:r>
      <w:r>
        <w:rPr>
          <w:rFonts w:ascii="方正仿宋_GBK" w:hAnsi="方正仿宋_GBK" w:eastAsia="方正仿宋_GBK" w:cs="方正仿宋_GBK"/>
          <w:sz w:val="32"/>
          <w:szCs w:val="32"/>
          <w:shd w:val="clear" w:color="auto" w:fill="FFFFFF"/>
        </w:rPr>
        <w:t>万元，与2023年度相比，减少13.58万元，下降13.8%，主要原因是工会经费、培训费、福利费的预算基数减少所致。公用经费用途主要包括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bookmarkStart w:id="0" w:name="_GoBack"/>
      <w:bookmarkEnd w:id="0"/>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hint="default" w:ascii="Times New Roman" w:hAnsi="Times New Roman" w:eastAsia="方正黑体_GBK"/>
          <w:sz w:val="32"/>
        </w:rPr>
      </w:pPr>
      <w:r>
        <w:rPr>
          <w:rFonts w:ascii="Times New Roman" w:hAnsi="Times New Roman" w:eastAsia="方正黑体_GBK"/>
          <w:sz w:val="32"/>
        </w:rPr>
        <w:t>三、财政拨款“三公”经费情况说明</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ascii="方正楷体_GBK" w:hAnsi="楷体" w:eastAsia="方正楷体_GBK" w:cs="楷体"/>
          <w:b/>
          <w:bCs/>
          <w:sz w:val="32"/>
          <w:szCs w:val="32"/>
          <w:shd w:val="clear" w:color="auto" w:fill="FFFFFF"/>
          <w:lang w:bidi="ar"/>
        </w:rPr>
      </w:pPr>
      <w:r>
        <w:rPr>
          <w:rFonts w:ascii="方正楷体_GBK" w:hAnsi="楷体" w:eastAsia="方正楷体_GBK" w:cs="楷体"/>
          <w:b/>
          <w:bCs/>
          <w:sz w:val="32"/>
          <w:szCs w:val="32"/>
          <w:shd w:val="clear" w:color="auto" w:fill="FFFFFF"/>
          <w:lang w:bidi="ar"/>
        </w:rPr>
        <w:t>（一）“三公”经费支出总体情况说明</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严格预算执行</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highlight w:val="none"/>
          <w:shd w:val="clear" w:color="auto" w:fill="FFFFFF"/>
        </w:rPr>
        <w:t>较上年支出数无增减，主要原因是</w:t>
      </w:r>
      <w:r>
        <w:rPr>
          <w:rFonts w:hint="eastAsia" w:ascii="方正仿宋_GBK" w:hAnsi="方正仿宋_GBK" w:eastAsia="方正仿宋_GBK" w:cs="方正仿宋_GBK"/>
          <w:sz w:val="32"/>
          <w:szCs w:val="32"/>
          <w:highlight w:val="none"/>
          <w:shd w:val="clear" w:color="auto" w:fill="FFFFFF"/>
          <w:lang w:val="en-US" w:eastAsia="zh-CN"/>
        </w:rPr>
        <w:t>厉行节约，严控“三公”经费支出</w:t>
      </w:r>
      <w:r>
        <w:rPr>
          <w:rFonts w:ascii="方正仿宋_GBK" w:hAnsi="方正仿宋_GBK" w:eastAsia="方正仿宋_GBK" w:cs="方正仿宋_GBK"/>
          <w:sz w:val="32"/>
          <w:szCs w:val="32"/>
          <w:highlight w:val="none"/>
          <w:shd w:val="clear" w:color="auto" w:fill="FFFFFF"/>
        </w:rPr>
        <w:t>。</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widowControl/>
        <w:adjustRightInd w:val="0"/>
        <w:snapToGrid w:val="0"/>
        <w:spacing w:line="600" w:lineRule="exact"/>
        <w:ind w:firstLine="640" w:firstLineChars="20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万元，主要用于教职工上下班通勤车辆燃油费、路桥费、车辆维护维修费、保险费等。费用支出较年初预算数无增减，主要原因是</w:t>
      </w:r>
      <w:r>
        <w:rPr>
          <w:rFonts w:hint="eastAsia" w:ascii="方正仿宋_GBK" w:hAnsi="方正仿宋_GBK" w:eastAsia="方正仿宋_GBK" w:cs="方正仿宋_GBK"/>
          <w:sz w:val="32"/>
          <w:szCs w:val="32"/>
          <w:highlight w:val="none"/>
          <w:shd w:val="clear" w:color="auto" w:fill="FFFFFF"/>
          <w:lang w:val="en-US" w:eastAsia="zh-CN"/>
        </w:rPr>
        <w:t>严格预算执行</w:t>
      </w:r>
      <w:r>
        <w:rPr>
          <w:rFonts w:ascii="方正仿宋_GBK" w:hAnsi="方正仿宋_GBK" w:eastAsia="方正仿宋_GBK" w:cs="方正仿宋_GBK"/>
          <w:sz w:val="32"/>
          <w:szCs w:val="32"/>
          <w:highlight w:val="none"/>
          <w:shd w:val="clear" w:color="auto" w:fill="FFFFFF"/>
        </w:rPr>
        <w:t>。较上年支出数无增减，主要原因是</w:t>
      </w:r>
      <w:r>
        <w:rPr>
          <w:rFonts w:hint="eastAsia" w:ascii="方正仿宋_GBK" w:hAnsi="方正仿宋_GBK" w:eastAsia="方正仿宋_GBK" w:cs="方正仿宋_GBK"/>
          <w:sz w:val="32"/>
          <w:szCs w:val="32"/>
          <w:highlight w:val="none"/>
          <w:shd w:val="clear" w:color="auto" w:fill="FFFFFF"/>
          <w:lang w:val="en-US" w:eastAsia="zh-CN"/>
        </w:rPr>
        <w:t>厉行节约，严控“三公”经费支出</w:t>
      </w:r>
      <w:r>
        <w:rPr>
          <w:rFonts w:ascii="方正仿宋_GBK" w:hAnsi="方正仿宋_GBK" w:eastAsia="方正仿宋_GBK" w:cs="方正仿宋_GBK"/>
          <w:sz w:val="32"/>
          <w:szCs w:val="32"/>
          <w:highlight w:val="none"/>
          <w:shd w:val="clear" w:color="auto" w:fill="FFFFFF"/>
        </w:rPr>
        <w:t>。</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ascii="Times New Roman" w:hAnsi="Times New Roman" w:eastAsia="方正黑体_GBK"/>
          <w:sz w:val="32"/>
        </w:rPr>
      </w:pPr>
      <w:r>
        <w:rPr>
          <w:rFonts w:ascii="Times New Roman" w:hAnsi="Times New Roman" w:eastAsia="方正黑体_GBK"/>
          <w:sz w:val="32"/>
        </w:rPr>
        <w:t>四、其他需要说明的事项</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5.72</w:t>
      </w:r>
      <w:r>
        <w:rPr>
          <w:rFonts w:ascii="方正仿宋_GBK" w:hAnsi="方正仿宋_GBK" w:eastAsia="方正仿宋_GBK" w:cs="方正仿宋_GBK"/>
          <w:sz w:val="32"/>
          <w:szCs w:val="32"/>
          <w:shd w:val="clear" w:color="auto" w:fill="FFFFFF"/>
        </w:rPr>
        <w:t>万元，与2023年度相比，减少17.07万元，下降74.9%，主要原因是学校压缩公用经费支出，减少了师资队伍的培训</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ascii="楷体" w:hAnsi="楷体" w:eastAsia="楷体" w:cs="楷体"/>
          <w:b/>
          <w:bCs/>
          <w:sz w:val="32"/>
          <w:szCs w:val="32"/>
          <w:shd w:val="clear" w:color="auto" w:fill="FFFFFF"/>
        </w:rPr>
      </w:pPr>
      <w:r>
        <w:rPr>
          <w:rFonts w:ascii="方正楷体_GBK" w:hAnsi="楷体" w:eastAsia="方正楷体_GBK" w:cs="楷体"/>
          <w:b/>
          <w:bCs/>
          <w:sz w:val="32"/>
          <w:szCs w:val="32"/>
          <w:shd w:val="clear" w:color="auto" w:fill="FFFFFF"/>
        </w:rPr>
        <w:t>（四）政府采购支出情况说明</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219.17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219.17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219.17万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219.17</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%。主要用于采购教学用设备和学生课桌椅。</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hint="default" w:ascii="Times New Roman" w:hAnsi="Times New Roman" w:eastAsia="方正黑体_GBK"/>
          <w:sz w:val="32"/>
        </w:rPr>
      </w:pPr>
      <w:r>
        <w:rPr>
          <w:rFonts w:ascii="Times New Roman" w:hAnsi="Times New Roman" w:eastAsia="方正黑体_GBK"/>
          <w:sz w:val="32"/>
        </w:rPr>
        <w:t>五、2024年度预算绩效管理情况说明</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根据预算绩效管理要求，我单位对14个二级项目开展了绩效自评，涉及财政拨款项目支出资金624.99万元。</w:t>
      </w:r>
    </w:p>
    <w:p>
      <w:pPr>
        <w:pStyle w:val="11"/>
        <w:keepNext w:val="0"/>
        <w:keepLines w:val="0"/>
        <w:pageBreakBefore w:val="0"/>
        <w:widowControl w:val="0"/>
        <w:kinsoku/>
        <w:overflowPunct/>
        <w:topLinePunct w:val="0"/>
        <w:autoSpaceDE w:val="0"/>
        <w:autoSpaceDN/>
        <w:bidi w:val="0"/>
        <w:adjustRightInd w:val="0"/>
        <w:snapToGrid w:val="0"/>
        <w:spacing w:afterAutospacing="0" w:line="594" w:lineRule="atLeast"/>
        <w:ind w:left="0" w:right="0" w:rightChars="0" w:firstLine="640" w:firstLineChars="200"/>
        <w:rPr>
          <w:rFonts w:ascii="方正楷体_GBK" w:hAnsi="楷体" w:eastAsia="方正楷体_GBK" w:cs="楷体"/>
          <w:b/>
          <w:bCs/>
          <w:sz w:val="32"/>
          <w:szCs w:val="32"/>
          <w:shd w:val="clear" w:color="auto" w:fill="FFFFFF"/>
          <w:lang w:bidi="ar"/>
        </w:rPr>
      </w:pPr>
    </w:p>
    <w:p>
      <w:pPr>
        <w:pStyle w:val="12"/>
        <w:keepNext w:val="0"/>
        <w:keepLines w:val="0"/>
        <w:pageBreakBefore w:val="0"/>
        <w:widowControl/>
        <w:kinsoku/>
        <w:wordWrap/>
        <w:overflowPunct/>
        <w:topLinePunct w:val="0"/>
        <w:autoSpaceDE w:val="0"/>
        <w:autoSpaceDN/>
        <w:bidi w:val="0"/>
        <w:adjustRightInd w:val="0"/>
        <w:snapToGrid w:val="0"/>
        <w:spacing w:before="0" w:beforeAutospacing="0" w:afterAutospacing="0" w:line="594" w:lineRule="atLeast"/>
        <w:ind w:left="0" w:right="0" w:rightChars="0"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keepNext w:val="0"/>
        <w:keepLines w:val="0"/>
        <w:pageBreakBefore w:val="0"/>
        <w:kinsoku/>
        <w:overflowPunct/>
        <w:topLinePunct w:val="0"/>
        <w:autoSpaceDN/>
        <w:bidi w:val="0"/>
        <w:adjustRightInd w:val="0"/>
        <w:snapToGrid w:val="0"/>
        <w:spacing w:afterAutospacing="0" w:line="594" w:lineRule="atLeast"/>
        <w:ind w:left="0" w:right="0" w:rightChars="0" w:firstLine="480" w:firstLineChars="200"/>
        <w:rPr>
          <w:rFonts w:hint="default"/>
        </w:rPr>
      </w:pPr>
      <w:r>
        <w:drawing>
          <wp:inline distT="0" distB="0" distL="114300" distR="114300">
            <wp:extent cx="5504815" cy="5287010"/>
            <wp:effectExtent l="0" t="0" r="63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504815" cy="5287010"/>
                    </a:xfrm>
                    <a:prstGeom prst="rect">
                      <a:avLst/>
                    </a:prstGeom>
                    <a:noFill/>
                    <a:ln>
                      <a:noFill/>
                    </a:ln>
                  </pic:spPr>
                </pic:pic>
              </a:graphicData>
            </a:graphic>
          </wp:inline>
        </w:drawing>
      </w:r>
      <w:r>
        <w:drawing>
          <wp:inline distT="0" distB="0" distL="114300" distR="114300">
            <wp:extent cx="5558155" cy="4879340"/>
            <wp:effectExtent l="0" t="0" r="444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558155" cy="4879340"/>
                    </a:xfrm>
                    <a:prstGeom prst="rect">
                      <a:avLst/>
                    </a:prstGeom>
                    <a:noFill/>
                    <a:ln>
                      <a:noFill/>
                    </a:ln>
                  </pic:spPr>
                </pic:pic>
              </a:graphicData>
            </a:graphic>
          </wp:inline>
        </w:drawing>
      </w:r>
      <w:r>
        <w:t xml:space="preserve"> </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3" w:firstLineChars="200"/>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hint="default" w:ascii="Times New Roman" w:hAnsi="Times New Roman" w:eastAsia="方正黑体_GBK"/>
          <w:sz w:val="32"/>
        </w:rPr>
      </w:pPr>
      <w:r>
        <w:rPr>
          <w:rFonts w:ascii="Times New Roman" w:hAnsi="Times New Roman" w:eastAsia="方正黑体_GBK"/>
          <w:sz w:val="32"/>
        </w:rPr>
        <w:t>六、专业名词解释</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left="0" w:right="0" w:rightChars="0"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kinsoku/>
        <w:overflowPunct/>
        <w:topLinePunct w:val="0"/>
        <w:autoSpaceDN/>
        <w:bidi w:val="0"/>
        <w:adjustRightInd w:val="0"/>
        <w:snapToGrid w:val="0"/>
        <w:spacing w:afterAutospacing="0" w:line="594" w:lineRule="atLeast"/>
        <w:ind w:left="0" w:right="0" w:rightChars="0" w:firstLine="640" w:firstLineChars="200"/>
        <w:rPr>
          <w:rFonts w:ascii="Times New Roman" w:hAnsi="Times New Roman" w:eastAsia="方正黑体_GBK"/>
          <w:sz w:val="32"/>
        </w:rPr>
      </w:pPr>
      <w:r>
        <w:rPr>
          <w:rFonts w:ascii="Times New Roman" w:hAnsi="Times New Roman" w:eastAsia="方正黑体_GBK"/>
          <w:sz w:val="32"/>
        </w:rPr>
        <w:t>七、决算公开联系方式及信息反馈渠道</w:t>
      </w:r>
    </w:p>
    <w:p>
      <w:pPr>
        <w:pStyle w:val="6"/>
        <w:keepNext w:val="0"/>
        <w:keepLines w:val="0"/>
        <w:pageBreakBefore w:val="0"/>
        <w:shd w:val="clear" w:color="auto" w:fill="FFFFFF"/>
        <w:kinsoku/>
        <w:overflowPunct/>
        <w:topLinePunct w:val="0"/>
        <w:autoSpaceDN/>
        <w:bidi w:val="0"/>
        <w:adjustRightInd w:val="0"/>
        <w:snapToGrid w:val="0"/>
        <w:spacing w:before="0" w:beforeAutospacing="0" w:after="0" w:afterAutospacing="0" w:line="594" w:lineRule="atLeast"/>
        <w:ind w:left="0" w:right="0" w:rightChars="0" w:firstLine="640" w:firstLineChars="200"/>
        <w:rPr>
          <w:rFonts w:ascii="方正黑体_GBK" w:hAnsi="方正仿宋_GBK" w:eastAsia="方正黑体_GBK" w:cs="方正仿宋_GBK"/>
          <w:b/>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keepNext w:val="0"/>
        <w:keepLines w:val="0"/>
        <w:pageBreakBefore w:val="0"/>
        <w:kinsoku/>
        <w:overflowPunct/>
        <w:topLinePunct w:val="0"/>
        <w:autoSpaceDE w:val="0"/>
        <w:autoSpaceDN/>
        <w:bidi w:val="0"/>
        <w:adjustRightInd w:val="0"/>
        <w:snapToGrid w:val="0"/>
        <w:spacing w:afterAutospacing="0" w:line="594" w:lineRule="atLeast"/>
        <w:ind w:left="0" w:right="0" w:rightChars="0" w:firstLine="640" w:firstLineChars="20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eastAsia="方正仿宋_GBK"/>
          <w:sz w:val="32"/>
          <w:szCs w:val="32"/>
        </w:rPr>
        <w:t>胡老师  023-74553991</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重庆市垫江第三中学校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6,332.47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254.86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5,121.68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132.36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6,719.69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6,748.53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6,783.23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6,783.23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重庆市垫江第三中学校</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6,719.69</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6,332.47</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254.86</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254.86</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5,093.67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4,706.46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254.86</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254.86</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5,087.01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4,699.79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254.86</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254.86</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2,160.87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2,054.56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高中教育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2,926.14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2,645.23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254.86</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254.86</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1,106.50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1,106.50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1,092.08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1,092.08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575.51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575.51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286.55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286.55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237.50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237.50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237.50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237.50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重庆市垫江第三中学校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6,748.53</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6,032.86</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715.67</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5,121.68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4,406.75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714.93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5,115.01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4,400.09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714.93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1,898.11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高中教育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2,984.18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2,501.98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482.20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1,107.33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1,106.59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1,092.92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1,092.18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576.07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576.07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286.83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286.83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229.28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237.50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237.50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237.50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237.50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237.50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重庆市垫江第三中学校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6,332.47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4,706.46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4,706.46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6,332.47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6,333.31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6,333.31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6,333.31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6,333.31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6,333.31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重庆市垫江第三中学校</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6,333.31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5,708.32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4,706.46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4,082.21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624.25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4,699.79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4,075.54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624.25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2,054.56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1,829.03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高中教育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2,645.23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2,246.51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1,107.33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1,106.59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1,092.18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576.07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576.07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286.83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286.83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229.28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237.50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237.50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237.50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282.01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282.01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重庆市垫江第三中学校</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5,379.73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1,281.00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2,490.75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286.83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5,623.43</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重庆市垫江第三中学校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重庆市垫江第三中学校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重庆市垫江第三中学校</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219.17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219.17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219.17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219.17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00000" w:csb1="00000000"/>
  </w:font>
  <w:font w:name="方正楷体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33" o:spid="_x0000_s103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4A728E6"/>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E50B84"/>
    <w:rsid w:val="3D083B3A"/>
    <w:rsid w:val="3D2757A1"/>
    <w:rsid w:val="3D3D4FC4"/>
    <w:rsid w:val="3DDF3AB1"/>
    <w:rsid w:val="3E1D0952"/>
    <w:rsid w:val="3E42660A"/>
    <w:rsid w:val="3E7555B1"/>
    <w:rsid w:val="3E787ED9"/>
    <w:rsid w:val="3F032E93"/>
    <w:rsid w:val="3F0527E5"/>
    <w:rsid w:val="3F4C52C6"/>
    <w:rsid w:val="3F694D83"/>
    <w:rsid w:val="3F885DCC"/>
    <w:rsid w:val="3FA336E2"/>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3"/>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8116</Words>
  <Characters>10468</Characters>
  <Lines>186</Lines>
  <Paragraphs>52</Paragraphs>
  <TotalTime>2</TotalTime>
  <ScaleCrop>false</ScaleCrop>
  <LinksUpToDate>false</LinksUpToDate>
  <CharactersWithSpaces>10861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2025-09-22T07:18:16Z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