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重庆市垫江第六中学校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pStyle w:val="6"/>
        <w:shd w:val="clear" w:color="auto" w:fill="FFFFFF"/>
        <w:spacing w:before="0" w:beforeAutospacing="0" w:after="0" w:afterAutospacing="0" w:line="600" w:lineRule="exact"/>
        <w:ind w:firstLine="643" w:firstLineChars="200"/>
        <w:rPr>
          <w:rStyle w:val="10"/>
          <w:rFonts w:ascii="黑体" w:hAnsi="黑体" w:eastAsia="黑体" w:cs="黑体"/>
          <w:sz w:val="32"/>
          <w:szCs w:val="32"/>
          <w:shd w:val="clear" w:color="auto" w:fill="FFFFFF"/>
        </w:rPr>
      </w:pPr>
    </w:p>
    <w:p>
      <w:pPr>
        <w:pStyle w:val="6"/>
        <w:shd w:val="clear" w:color="auto" w:fill="FFFFFF"/>
        <w:spacing w:before="0" w:beforeAutospacing="0" w:after="0" w:afterAutospacing="0" w:line="600" w:lineRule="exact"/>
        <w:ind w:firstLine="640" w:firstLineChars="200"/>
        <w:rPr>
          <w:rFonts w:hint="default" w:ascii="黑体" w:hAnsi="黑体" w:eastAsia="黑体" w:cs="黑体"/>
          <w:b w:val="0"/>
          <w:bCs/>
          <w:sz w:val="32"/>
          <w:szCs w:val="32"/>
        </w:rPr>
      </w:pPr>
      <w:r>
        <w:rPr>
          <w:rStyle w:val="10"/>
          <w:rFonts w:ascii="黑体" w:hAnsi="黑体" w:eastAsia="黑体" w:cs="黑体"/>
          <w:b w:val="0"/>
          <w:bCs/>
          <w:sz w:val="32"/>
          <w:szCs w:val="32"/>
          <w:shd w:val="clear" w:color="auto" w:fill="FFFFFF"/>
        </w:rPr>
        <w:t>一、单位基本情况</w:t>
      </w:r>
    </w:p>
    <w:p>
      <w:pPr>
        <w:spacing w:line="600" w:lineRule="exact"/>
        <w:ind w:firstLine="643" w:firstLineChars="200"/>
        <w:rPr>
          <w:rFonts w:hint="default" w:eastAsia="方正楷体_GBK"/>
          <w:b/>
          <w:sz w:val="32"/>
        </w:rPr>
      </w:pPr>
      <w:r>
        <w:rPr>
          <w:rFonts w:eastAsia="方正楷体_GBK"/>
          <w:b/>
          <w:sz w:val="32"/>
        </w:rPr>
        <w:t>（一）职能职责</w:t>
      </w:r>
    </w:p>
    <w:p>
      <w:pPr>
        <w:pStyle w:val="17"/>
        <w:tabs>
          <w:tab w:val="center" w:pos="4153"/>
          <w:tab w:val="left" w:pos="7275"/>
        </w:tabs>
        <w:spacing w:line="600" w:lineRule="exact"/>
        <w:ind w:left="640" w:firstLine="200" w:firstLineChars="0"/>
        <w:jc w:val="left"/>
        <w:rPr>
          <w:rFonts w:eastAsia="方正仿宋_GBK"/>
          <w:sz w:val="32"/>
        </w:rPr>
      </w:pPr>
      <w:r>
        <w:rPr>
          <w:rFonts w:eastAsia="方正仿宋_GBK"/>
          <w:sz w:val="32"/>
        </w:rPr>
        <w:t>负责辖区适龄青少年义务教育工作。</w:t>
      </w:r>
    </w:p>
    <w:p>
      <w:pPr>
        <w:spacing w:line="600" w:lineRule="exact"/>
        <w:ind w:firstLine="643" w:firstLineChars="200"/>
        <w:rPr>
          <w:rFonts w:hint="default" w:eastAsia="方正楷体_GBK"/>
          <w:b/>
          <w:sz w:val="32"/>
        </w:rPr>
      </w:pPr>
      <w:r>
        <w:rPr>
          <w:rFonts w:hAnsi="方正楷体_GBK" w:eastAsia="方正楷体_GBK"/>
          <w:b/>
          <w:sz w:val="32"/>
        </w:rPr>
        <w:t>（二）机构设置</w:t>
      </w:r>
    </w:p>
    <w:p>
      <w:pPr>
        <w:pStyle w:val="6"/>
        <w:shd w:val="clear" w:color="auto" w:fill="FFFFFF"/>
        <w:spacing w:before="0" w:beforeAutospacing="0" w:after="0" w:afterAutospacing="0" w:line="600" w:lineRule="exact"/>
        <w:ind w:firstLine="640" w:firstLineChars="200"/>
        <w:rPr>
          <w:rFonts w:hint="default" w:eastAsia="方正仿宋_GBK"/>
          <w:sz w:val="32"/>
        </w:rPr>
      </w:pPr>
      <w:r>
        <w:rPr>
          <w:rFonts w:eastAsia="方正仿宋_GBK"/>
          <w:sz w:val="32"/>
        </w:rPr>
        <w:t>重庆市垫江第六中学校单位领导职数3名（校长1名、副校长2名），内设机构领导职数5名，内设机构设有办公室、教务处、后勤处、教科处、德育处。</w:t>
      </w:r>
    </w:p>
    <w:p>
      <w:pPr>
        <w:pStyle w:val="6"/>
        <w:shd w:val="clear" w:color="auto" w:fill="FFFFFF"/>
        <w:spacing w:before="0" w:beforeAutospacing="0" w:after="0" w:afterAutospacing="0" w:line="600" w:lineRule="exact"/>
        <w:ind w:firstLine="640" w:firstLineChars="200"/>
        <w:rPr>
          <w:rStyle w:val="10"/>
          <w:rFonts w:hint="default"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二、单位决算</w:t>
      </w:r>
      <w:r>
        <w:rPr>
          <w:rStyle w:val="10"/>
          <w:rFonts w:hint="eastAsia" w:ascii="黑体" w:hAnsi="黑体" w:eastAsia="黑体" w:cs="黑体"/>
          <w:b w:val="0"/>
          <w:bCs/>
          <w:sz w:val="32"/>
          <w:szCs w:val="32"/>
          <w:shd w:val="clear" w:color="auto" w:fill="FFFFFF"/>
          <w:lang w:eastAsia="zh-CN"/>
        </w:rPr>
        <w:t>收支</w:t>
      </w:r>
      <w:r>
        <w:rPr>
          <w:rStyle w:val="10"/>
          <w:rFonts w:ascii="黑体" w:hAnsi="黑体" w:eastAsia="黑体" w:cs="黑体"/>
          <w:b w:val="0"/>
          <w:bCs/>
          <w:sz w:val="32"/>
          <w:szCs w:val="32"/>
          <w:shd w:val="clear" w:color="auto" w:fill="FFFFFF"/>
        </w:rPr>
        <w:t>情况说明</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r>
        <w:rPr>
          <w:rFonts w:hint="eastAsia" w:ascii="楷体" w:hAnsi="楷体" w:eastAsia="楷体" w:cs="楷体"/>
          <w:b/>
          <w:bCs/>
          <w:sz w:val="32"/>
          <w:szCs w:val="32"/>
          <w:shd w:val="clear" w:color="auto" w:fill="FFFFFF"/>
        </w:rPr>
        <w:t>。</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2024年度收入总计3056.36万元，支出总计</w:t>
      </w:r>
      <w:r>
        <w:rPr>
          <w:rFonts w:ascii="方正仿宋_GBK" w:hAnsi="方正仿宋_GBK" w:eastAsia="方正仿宋_GBK" w:cs="方正仿宋_GBK"/>
          <w:sz w:val="32"/>
          <w:szCs w:val="32"/>
        </w:rPr>
        <w:t>3056.36</w:t>
      </w:r>
      <w:r>
        <w:rPr>
          <w:rFonts w:ascii="方正仿宋_GBK" w:hAnsi="方正仿宋_GBK" w:eastAsia="方正仿宋_GBK" w:cs="方正仿宋_GBK"/>
          <w:sz w:val="32"/>
          <w:szCs w:val="32"/>
          <w:shd w:val="clear" w:color="auto" w:fill="FFFFFF"/>
        </w:rPr>
        <w:t>万元。收、支与2023年度相比，减少522.55万元，下降14.60%，主要原因是2023年清算补发以前年度超额绩效和健康休养费。</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2024年度收入合计3018.86万元，与2023年度相比，减少538.82万元，下降15.15%，主要原因是2023年清算补发以前年度超额绩效和健康休养费。其中：财政拨款收入</w:t>
      </w:r>
      <w:r>
        <w:rPr>
          <w:rFonts w:ascii="方正仿宋_GBK" w:hAnsi="方正仿宋_GBK" w:eastAsia="方正仿宋_GBK" w:cs="方正仿宋_GBK"/>
          <w:sz w:val="32"/>
          <w:szCs w:val="32"/>
        </w:rPr>
        <w:t>2897.00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95.96</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13.29</w:t>
      </w:r>
      <w:r>
        <w:rPr>
          <w:rFonts w:ascii="方正仿宋_GBK" w:hAnsi="方正仿宋_GBK" w:eastAsia="方正仿宋_GBK" w:cs="方正仿宋_GBK"/>
          <w:sz w:val="32"/>
          <w:szCs w:val="32"/>
          <w:shd w:val="clear" w:color="auto" w:fill="FFFFFF"/>
        </w:rPr>
        <w:t>万元，占0.44%；经营收入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108.57</w:t>
      </w:r>
      <w:r>
        <w:rPr>
          <w:rFonts w:ascii="方正仿宋_GBK" w:hAnsi="方正仿宋_GBK" w:eastAsia="方正仿宋_GBK" w:cs="方正仿宋_GBK"/>
          <w:sz w:val="32"/>
          <w:szCs w:val="32"/>
          <w:shd w:val="clear" w:color="auto" w:fill="FFFFFF"/>
        </w:rPr>
        <w:t>万元，占3.60%。此外，使用非财政拨款结余和专用结余</w:t>
      </w:r>
      <w:r>
        <w:rPr>
          <w:rFonts w:ascii="方正仿宋_GBK" w:hAnsi="方正仿宋_GBK" w:eastAsia="方正仿宋_GBK" w:cs="方正仿宋_GBK"/>
          <w:sz w:val="32"/>
          <w:szCs w:val="32"/>
        </w:rPr>
        <w:t>37.50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3049.36</w:t>
      </w:r>
      <w:r>
        <w:rPr>
          <w:rFonts w:ascii="方正仿宋_GBK" w:hAnsi="方正仿宋_GBK" w:eastAsia="方正仿宋_GBK" w:cs="方正仿宋_GBK"/>
          <w:sz w:val="32"/>
          <w:szCs w:val="32"/>
          <w:shd w:val="clear" w:color="auto" w:fill="FFFFFF"/>
        </w:rPr>
        <w:t>万元，与2023年度相比，减少512.96万元，下降14.40%，主要原因是2023年清算补发以前年度超额绩效和健康休养费。其中：基本支出</w:t>
      </w:r>
      <w:r>
        <w:rPr>
          <w:rFonts w:ascii="方正仿宋_GBK" w:hAnsi="方正仿宋_GBK" w:eastAsia="方正仿宋_GBK" w:cs="方正仿宋_GBK"/>
          <w:sz w:val="32"/>
          <w:szCs w:val="32"/>
        </w:rPr>
        <w:t>2774.41</w:t>
      </w:r>
      <w:r>
        <w:rPr>
          <w:rFonts w:ascii="方正仿宋_GBK" w:hAnsi="方正仿宋_GBK" w:eastAsia="方正仿宋_GBK" w:cs="方正仿宋_GBK"/>
          <w:sz w:val="32"/>
          <w:szCs w:val="32"/>
          <w:shd w:val="clear" w:color="auto" w:fill="FFFFFF"/>
        </w:rPr>
        <w:t>万元，占90.98%；项目支出</w:t>
      </w:r>
      <w:r>
        <w:rPr>
          <w:rFonts w:ascii="方正仿宋_GBK" w:hAnsi="方正仿宋_GBK" w:eastAsia="方正仿宋_GBK" w:cs="方正仿宋_GBK"/>
          <w:sz w:val="32"/>
          <w:szCs w:val="32"/>
        </w:rPr>
        <w:t>274.95</w:t>
      </w:r>
      <w:r>
        <w:rPr>
          <w:rFonts w:ascii="方正仿宋_GBK" w:hAnsi="方正仿宋_GBK" w:eastAsia="方正仿宋_GBK" w:cs="方正仿宋_GBK"/>
          <w:sz w:val="32"/>
          <w:szCs w:val="32"/>
          <w:shd w:val="clear" w:color="auto" w:fill="FFFFFF"/>
        </w:rPr>
        <w:t>万元，占9.02%；经营支出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7.00</w:t>
      </w:r>
      <w:r>
        <w:rPr>
          <w:rFonts w:ascii="方正仿宋_GBK" w:hAnsi="方正仿宋_GBK" w:eastAsia="方正仿宋_GBK" w:cs="方正仿宋_GBK"/>
          <w:sz w:val="32"/>
          <w:szCs w:val="32"/>
          <w:shd w:val="clear" w:color="auto" w:fill="FFFFFF"/>
        </w:rPr>
        <w:t>万元，与2023年度相比，增加7.00万元，增长100.00%，主要原因是捐赠收入结转至次年使用。</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2024年度财政拨款收、支总计2897.00万元。与2023年相比，财政拨款收、支总计各减少529.98万元，下降15.46%。主要原因是2023年清算补发以前年度超额绩效和健康休养费。</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2897.00</w:t>
      </w:r>
      <w:r>
        <w:rPr>
          <w:rFonts w:ascii="方正仿宋_GBK" w:hAnsi="方正仿宋_GBK" w:eastAsia="方正仿宋_GBK" w:cs="方正仿宋_GBK"/>
          <w:sz w:val="32"/>
          <w:szCs w:val="32"/>
          <w:shd w:val="clear" w:color="auto" w:fill="FFFFFF"/>
        </w:rPr>
        <w:t>万元，与2023年度相比，减少529.98万元，下降15.46%。主要原因是2023年清算补发以前年度超额绩效和健康休养费。较年初预算数增加282.08万元，增长10.79%。主要原因是2023年清算补发以前年度超额绩效和健康休养费。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2897.00</w:t>
      </w:r>
      <w:r>
        <w:rPr>
          <w:rFonts w:ascii="方正仿宋_GBK" w:hAnsi="方正仿宋_GBK" w:eastAsia="方正仿宋_GBK" w:cs="方正仿宋_GBK"/>
          <w:sz w:val="32"/>
          <w:szCs w:val="32"/>
          <w:shd w:val="clear" w:color="auto" w:fill="FFFFFF"/>
        </w:rPr>
        <w:t>万元，与2023年度相比，减少529.98万元，下降15.46%。主要原因是2023年清算补发以前年度超额绩效和健康休养费。较年初预算数增加282.08万元，增长10.79%。主要原因是教职工正常晋升、岗位职级变化等人员经费增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2098.12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72.42</w:t>
      </w:r>
      <w:r>
        <w:rPr>
          <w:rFonts w:ascii="方正仿宋_GBK" w:hAnsi="方正仿宋_GBK" w:eastAsia="方正仿宋_GBK" w:cs="方正仿宋_GBK"/>
          <w:sz w:val="32"/>
          <w:szCs w:val="32"/>
          <w:shd w:val="clear" w:color="auto" w:fill="FFFFFF"/>
        </w:rPr>
        <w:t>%，较年初预算数增加158.25万元，增长8.16%，主要原因是教职工正常晋升、岗位职级变化等人员经费增加。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566.79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19.56</w:t>
      </w:r>
      <w:r>
        <w:rPr>
          <w:rFonts w:ascii="方正仿宋_GBK" w:hAnsi="方正仿宋_GBK" w:eastAsia="方正仿宋_GBK" w:cs="方正仿宋_GBK"/>
          <w:sz w:val="32"/>
          <w:szCs w:val="32"/>
          <w:shd w:val="clear" w:color="auto" w:fill="FFFFFF"/>
        </w:rPr>
        <w:t>%，较年初预算数增加132.52万元，增长30.52%，主要原因是社保局追加补缴了以前年度养老保险和职业年金。</w:t>
      </w:r>
    </w:p>
    <w:p>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104.52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3.61</w:t>
      </w:r>
      <w:r>
        <w:rPr>
          <w:rFonts w:ascii="方正仿宋_GBK" w:hAnsi="方正仿宋_GBK" w:eastAsia="方正仿宋_GBK" w:cs="方正仿宋_GBK"/>
          <w:sz w:val="32"/>
          <w:szCs w:val="32"/>
          <w:shd w:val="clear" w:color="auto" w:fill="FFFFFF"/>
        </w:rPr>
        <w:t>%，较年初预算数减少4.93万元，下降4.50%，主要原因是教职工退休后减少医疗保险缴费。</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住房保障支出124.22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4.29</w:t>
      </w:r>
      <w:r>
        <w:rPr>
          <w:rFonts w:ascii="方正仿宋_GBK" w:hAnsi="方正仿宋_GBK" w:eastAsia="方正仿宋_GBK" w:cs="方正仿宋_GBK"/>
          <w:sz w:val="32"/>
          <w:szCs w:val="32"/>
          <w:shd w:val="clear" w:color="auto" w:fill="FFFFFF"/>
        </w:rPr>
        <w:t>%，较年初预算数减少7.12万元，下降5.42%，主要原因是教职工退休后减少公积金缴费基数。</w:t>
      </w:r>
    </w:p>
    <w:p>
      <w:pPr>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灾害防治及应急管理支出3.35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0.12</w:t>
      </w:r>
      <w:r>
        <w:rPr>
          <w:rFonts w:ascii="方正仿宋_GBK" w:hAnsi="方正仿宋_GBK" w:eastAsia="方正仿宋_GBK" w:cs="方正仿宋_GBK"/>
          <w:sz w:val="32"/>
          <w:szCs w:val="32"/>
          <w:shd w:val="clear" w:color="auto" w:fill="FFFFFF"/>
        </w:rPr>
        <w:t>%，较年初预算数增加3.35万元，增长100.00%，主要原因是财政追加灾害防治及应急管理资金3.35万元。</w:t>
      </w:r>
    </w:p>
    <w:p>
      <w:pPr>
        <w:spacing w:line="600" w:lineRule="exact"/>
        <w:ind w:firstLine="643" w:firstLineChars="200"/>
        <w:rPr>
          <w:rFonts w:ascii="方正仿宋_GBK" w:hAnsi="方正仿宋_GBK" w:eastAsia="方正仿宋_GBK" w:cs="方正仿宋_GBK"/>
          <w:sz w:val="32"/>
          <w:szCs w:val="32"/>
          <w:shd w:val="clear" w:color="auto" w:fill="FFFFFF"/>
        </w:rPr>
      </w:pPr>
      <w:r>
        <w:rPr>
          <w:rFonts w:ascii="方正楷体_GBK" w:hAnsi="楷体" w:eastAsia="方正楷体_GBK" w:cs="楷体"/>
          <w:b/>
          <w:bCs/>
          <w:sz w:val="32"/>
          <w:szCs w:val="32"/>
          <w:shd w:val="clear" w:color="auto" w:fill="FFFFFF"/>
        </w:rPr>
        <w:t>（四）一般公共预算财政拨款基本支出决算情况说明</w:t>
      </w:r>
    </w:p>
    <w:p>
      <w:pPr>
        <w:spacing w:line="600" w:lineRule="exact"/>
        <w:ind w:firstLine="200"/>
        <w:rPr>
          <w:rFonts w:hint="default" w:ascii="方正仿宋_GBK" w:eastAsia="方正仿宋_GBK"/>
          <w:sz w:val="32"/>
          <w:szCs w:val="32"/>
        </w:rPr>
      </w:pPr>
      <w:r>
        <w:rPr>
          <w:rFonts w:cs="宋体"/>
          <w:sz w:val="32"/>
          <w:szCs w:val="32"/>
          <w:shd w:val="clear" w:color="auto" w:fill="FFFFFF"/>
        </w:rPr>
        <w:t> </w:t>
      </w:r>
      <w:r>
        <w:rPr>
          <w:rFonts w:ascii="方正仿宋_GBK" w:hAnsi="方正仿宋_GBK" w:eastAsia="方正仿宋_GBK" w:cs="方正仿宋_GBK"/>
          <w:sz w:val="32"/>
          <w:szCs w:val="32"/>
          <w:shd w:val="clear" w:color="auto" w:fill="FFFFFF"/>
        </w:rPr>
        <w:t>2024年度一般公共</w:t>
      </w:r>
      <w:r>
        <w:rPr>
          <w:rFonts w:hint="eastAsia" w:ascii="方正仿宋_GBK" w:hAnsi="方正仿宋_GBK" w:eastAsia="方正仿宋_GBK" w:cs="方正仿宋_GBK"/>
          <w:sz w:val="32"/>
          <w:szCs w:val="32"/>
          <w:shd w:val="clear" w:color="auto" w:fill="FFFFFF"/>
          <w:lang w:val="en-US" w:eastAsia="zh-CN"/>
        </w:rPr>
        <w:t>预算</w:t>
      </w:r>
      <w:bookmarkStart w:id="0" w:name="_GoBack"/>
      <w:bookmarkEnd w:id="0"/>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2626.56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2582.24</w:t>
      </w:r>
      <w:r>
        <w:rPr>
          <w:rFonts w:ascii="方正仿宋_GBK" w:hAnsi="方正仿宋_GBK" w:eastAsia="方正仿宋_GBK" w:cs="方正仿宋_GBK"/>
          <w:sz w:val="32"/>
          <w:szCs w:val="32"/>
          <w:shd w:val="clear" w:color="auto" w:fill="FFFFFF"/>
        </w:rPr>
        <w:t>万元，与2023年度相比，减少496.61万元，下降16.13%，主要原因是2023年清算补发以前年度超额绩效和健康休养费。人员经费用途主要包括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44.33</w:t>
      </w:r>
      <w:r>
        <w:rPr>
          <w:rFonts w:ascii="方正仿宋_GBK" w:hAnsi="方正仿宋_GBK" w:eastAsia="方正仿宋_GBK" w:cs="方正仿宋_GBK"/>
          <w:sz w:val="32"/>
          <w:szCs w:val="32"/>
          <w:shd w:val="clear" w:color="auto" w:fill="FFFFFF"/>
        </w:rPr>
        <w:t>万元，与2023年度相比，减少6.40万元，下降12.62%，主要原因是工会经费、培训费、福利费的预算基数减少所致。公用经费用途主要包括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6"/>
        <w:snapToGrid w:val="0"/>
        <w:spacing w:before="0" w:beforeAutospacing="0" w:after="0" w:afterAutospacing="0" w:line="600" w:lineRule="exact"/>
        <w:ind w:firstLine="643" w:firstLineChars="200"/>
        <w:jc w:val="both"/>
        <w:rPr>
          <w:rFonts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0"/>
          <w:rFonts w:hint="default"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rPr>
        <w:t>单位</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 xml:space="preserve"> 公务</w:t>
      </w:r>
      <w:r>
        <w:rPr>
          <w:rFonts w:hint="eastAsia" w:ascii="方正仿宋_GBK" w:hAnsi="方正仿宋_GBK" w:eastAsia="方正仿宋_GBK" w:cs="方正仿宋_GBK"/>
          <w:kern w:val="0"/>
          <w:sz w:val="32"/>
          <w:szCs w:val="32"/>
          <w:shd w:val="clear" w:color="auto" w:fill="FFFFFF"/>
          <w:lang w:val="en-US" w:eastAsia="zh-CN"/>
        </w:rPr>
        <w:t>用</w:t>
      </w:r>
      <w:r>
        <w:rPr>
          <w:rFonts w:ascii="方正仿宋_GBK" w:hAnsi="方正仿宋_GBK" w:eastAsia="方正仿宋_GBK" w:cs="方正仿宋_GBK"/>
          <w:kern w:val="0"/>
          <w:sz w:val="32"/>
          <w:szCs w:val="32"/>
          <w:shd w:val="clear" w:color="auto" w:fill="FFFFFF"/>
        </w:rPr>
        <w:t>车运行维护费0.00万元。费用支出较年初预算数无增减，主要原因是年初预算未安排且本年未发生公务</w:t>
      </w:r>
      <w:r>
        <w:rPr>
          <w:rFonts w:hint="eastAsia" w:ascii="方正仿宋_GBK" w:hAnsi="方正仿宋_GBK" w:eastAsia="方正仿宋_GBK" w:cs="方正仿宋_GBK"/>
          <w:kern w:val="0"/>
          <w:sz w:val="32"/>
          <w:szCs w:val="32"/>
          <w:shd w:val="clear" w:color="auto" w:fill="FFFFFF"/>
          <w:lang w:val="en-US" w:eastAsia="zh-CN"/>
        </w:rPr>
        <w:t>用</w:t>
      </w:r>
      <w:r>
        <w:rPr>
          <w:rFonts w:ascii="方正仿宋_GBK" w:hAnsi="方正仿宋_GBK" w:eastAsia="方正仿宋_GBK" w:cs="方正仿宋_GBK"/>
          <w:kern w:val="0"/>
          <w:sz w:val="32"/>
          <w:szCs w:val="32"/>
          <w:shd w:val="clear" w:color="auto" w:fill="FFFFFF"/>
        </w:rPr>
        <w:t>车运行维护费用。较上年支出数无增减，主要原因是上年和本年均未发生公务</w:t>
      </w:r>
      <w:r>
        <w:rPr>
          <w:rFonts w:hint="eastAsia" w:ascii="方正仿宋_GBK" w:hAnsi="方正仿宋_GBK" w:eastAsia="方正仿宋_GBK" w:cs="方正仿宋_GBK"/>
          <w:kern w:val="0"/>
          <w:sz w:val="32"/>
          <w:szCs w:val="32"/>
          <w:shd w:val="clear" w:color="auto" w:fill="FFFFFF"/>
          <w:lang w:val="en-US" w:eastAsia="zh-CN"/>
        </w:rPr>
        <w:t>用</w:t>
      </w:r>
      <w:r>
        <w:rPr>
          <w:rFonts w:ascii="方正仿宋_GBK" w:hAnsi="方正仿宋_GBK" w:eastAsia="方正仿宋_GBK" w:cs="方正仿宋_GBK"/>
          <w:kern w:val="0"/>
          <w:sz w:val="32"/>
          <w:szCs w:val="32"/>
          <w:shd w:val="clear" w:color="auto" w:fill="FFFFFF"/>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600" w:lineRule="exact"/>
        <w:ind w:firstLine="640" w:firstLineChars="200"/>
        <w:rPr>
          <w:rStyle w:val="10"/>
          <w:rFonts w:hint="default"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四、其他需要说明的事项</w:t>
      </w:r>
    </w:p>
    <w:p>
      <w:pPr>
        <w:pStyle w:val="11"/>
        <w:autoSpaceDE w:val="0"/>
        <w:spacing w:line="600" w:lineRule="exact"/>
        <w:ind w:firstLine="643"/>
        <w:rPr>
          <w:rFonts w:hint="eastAsia"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8.33</w:t>
      </w:r>
      <w:r>
        <w:rPr>
          <w:rFonts w:ascii="方正仿宋_GBK" w:hAnsi="方正仿宋_GBK" w:eastAsia="方正仿宋_GBK" w:cs="方正仿宋_GBK"/>
          <w:sz w:val="32"/>
          <w:szCs w:val="32"/>
          <w:shd w:val="clear" w:color="auto" w:fill="FFFFFF"/>
        </w:rPr>
        <w:t>万元，与2023年度相比，减少3.67万元，下降30.58%，主要原因是学校压缩公用经费支出，减少了师资队伍的培训</w:t>
      </w:r>
      <w:r>
        <w:rPr>
          <w:rFonts w:ascii="方正仿宋_GBK" w:hAnsi="方正仿宋_GBK" w:eastAsia="方正仿宋_GBK" w:cs="方正仿宋_GBK"/>
          <w:sz w:val="32"/>
          <w:szCs w:val="32"/>
        </w:rPr>
        <w:t>。</w:t>
      </w:r>
    </w:p>
    <w:p>
      <w:pPr>
        <w:pStyle w:val="11"/>
        <w:autoSpaceDE w:val="0"/>
        <w:spacing w:line="600" w:lineRule="exact"/>
        <w:ind w:firstLine="643"/>
        <w:rPr>
          <w:rFonts w:hint="eastAsia"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hint="eastAsia"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r>
        <w:rPr>
          <w:rFonts w:hint="default" w:ascii="方正仿宋_GBK" w:hAnsi="方正仿宋_GBK" w:eastAsia="方正仿宋_GBK" w:cs="方正仿宋_GBK"/>
          <w:sz w:val="32"/>
          <w:szCs w:val="32"/>
        </w:rPr>
        <w:t>。</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21.50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21.50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21.50万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21.50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%。主要用于采购教学用设备和学生课桌椅。</w:t>
      </w:r>
    </w:p>
    <w:p>
      <w:pPr>
        <w:pStyle w:val="6"/>
        <w:shd w:val="clear" w:color="auto" w:fill="FFFFFF"/>
        <w:spacing w:before="0" w:beforeAutospacing="0" w:after="0" w:afterAutospacing="0" w:line="600" w:lineRule="exact"/>
        <w:ind w:firstLine="640" w:firstLineChars="200"/>
        <w:rPr>
          <w:rStyle w:val="10"/>
          <w:rFonts w:hint="default"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根据预算绩效管理要求，我单位对13个二级项目开展了绩效自评，涉及财政拨款项目支出资金270.43万元。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r>
        <w:drawing>
          <wp:inline distT="0" distB="0" distL="114300" distR="114300">
            <wp:extent cx="6087110" cy="4872355"/>
            <wp:effectExtent l="0" t="0" r="8890"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6087110" cy="4872355"/>
                    </a:xfrm>
                    <a:prstGeom prst="rect">
                      <a:avLst/>
                    </a:prstGeom>
                    <a:noFill/>
                    <a:ln>
                      <a:noFill/>
                    </a:ln>
                  </pic:spPr>
                </pic:pic>
              </a:graphicData>
            </a:graphic>
          </wp:inline>
        </w:drawing>
      </w:r>
    </w:p>
    <w:p>
      <w:pPr>
        <w:tabs>
          <w:tab w:val="left" w:pos="365"/>
        </w:tabs>
        <w:bidi w:val="0"/>
        <w:jc w:val="left"/>
        <w:rPr>
          <w:rFonts w:hint="default" w:ascii="宋体" w:hAnsi="宋体" w:eastAsia="宋体" w:cs="Times New Roman"/>
          <w:sz w:val="24"/>
          <w:szCs w:val="24"/>
          <w:lang w:val="en-US" w:eastAsia="zh-CN" w:bidi="ar-SA"/>
        </w:rPr>
        <w:sectPr>
          <w:pgSz w:w="11915" w:h="16840"/>
          <w:pgMar w:top="1440" w:right="1800" w:bottom="1440" w:left="1800" w:header="851" w:footer="992" w:gutter="0"/>
          <w:pgNumType w:fmt="numberInDash"/>
          <w:cols w:space="720" w:num="1"/>
          <w:docGrid w:type="lines" w:linePitch="312" w:charSpace="0"/>
        </w:sectPr>
      </w:pPr>
      <w:r>
        <w:rPr>
          <w:rFonts w:hint="eastAsia" w:cs="Times New Roman"/>
          <w:sz w:val="24"/>
          <w:szCs w:val="24"/>
          <w:lang w:val="en-US" w:eastAsia="zh-CN" w:bidi="ar-SA"/>
        </w:rPr>
        <w:tab/>
      </w:r>
      <w:r>
        <w:drawing>
          <wp:inline distT="0" distB="0" distL="114300" distR="114300">
            <wp:extent cx="6077585" cy="4946015"/>
            <wp:effectExtent l="0" t="0" r="8890"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6077585" cy="4946015"/>
                    </a:xfrm>
                    <a:prstGeom prst="rect">
                      <a:avLst/>
                    </a:prstGeom>
                    <a:noFill/>
                    <a:ln>
                      <a:noFill/>
                    </a:ln>
                  </pic:spPr>
                </pic:pic>
              </a:graphicData>
            </a:graphic>
          </wp:inline>
        </w:drawing>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pStyle w:val="6"/>
        <w:shd w:val="clear" w:color="auto" w:fill="FFFFFF"/>
        <w:spacing w:before="0" w:beforeAutospacing="0" w:after="0" w:afterAutospacing="0" w:line="600" w:lineRule="exact"/>
        <w:ind w:firstLine="640" w:firstLineChars="200"/>
        <w:rPr>
          <w:rStyle w:val="10"/>
          <w:rFonts w:hint="default"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spacing w:before="0" w:beforeAutospacing="0" w:after="0" w:afterAutospacing="0" w:line="600" w:lineRule="exact"/>
        <w:ind w:firstLine="640" w:firstLineChars="200"/>
        <w:rPr>
          <w:rStyle w:val="10"/>
          <w:rFonts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11"/>
        <w:autoSpaceDE w:val="0"/>
        <w:spacing w:line="600" w:lineRule="exact"/>
        <w:ind w:firstLine="64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rPr>
        <w:t>杨老师   023-74562741</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r>
              <w:rPr>
                <w:rFonts w:cs="宋体"/>
                <w:sz w:val="20"/>
                <w:szCs w:val="20"/>
              </w:rPr>
              <w:t>单位：</w:t>
            </w:r>
            <w:r>
              <w:rPr>
                <w:sz w:val="20"/>
              </w:rPr>
              <w:t>重庆市垫江第六中学校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2,897.00</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13.29</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2,250.48</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108.57</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566.79</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104.52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124.22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3.35</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3,018.86</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3,049.36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37.50</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7.00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3,056.36</w:t>
            </w:r>
            <w:r>
              <w:rPr>
                <w:rFonts w:ascii="Times New Roman" w:hAnsi="Times New Roman"/>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3,056.36</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430"/>
        <w:gridCol w:w="1291"/>
        <w:gridCol w:w="1350"/>
        <w:gridCol w:w="1169"/>
        <w:gridCol w:w="1170"/>
        <w:gridCol w:w="1304"/>
        <w:gridCol w:w="1242"/>
        <w:gridCol w:w="1376"/>
        <w:gridCol w:w="1590"/>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Layout w:type="fixed"/>
          <w:tblCellMar>
            <w:top w:w="0" w:type="dxa"/>
            <w:left w:w="0" w:type="dxa"/>
            <w:bottom w:w="0" w:type="dxa"/>
            <w:right w:w="0" w:type="dxa"/>
          </w:tblCellMar>
        </w:tblPrEx>
        <w:trPr>
          <w:trHeight w:val="328" w:hRule="atLeast"/>
        </w:trPr>
        <w:tc>
          <w:tcPr>
            <w:tcW w:w="635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重庆市垫江第六中学校</w:t>
            </w: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6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7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0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4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7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9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Layout w:type="fixed"/>
          <w:tblCellMar>
            <w:top w:w="0" w:type="dxa"/>
            <w:left w:w="0" w:type="dxa"/>
            <w:bottom w:w="0" w:type="dxa"/>
            <w:right w:w="0" w:type="dxa"/>
          </w:tblCellMar>
        </w:tblPrEx>
        <w:trPr>
          <w:trHeight w:val="328" w:hRule="atLeast"/>
        </w:trPr>
        <w:tc>
          <w:tcPr>
            <w:tcW w:w="635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6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70"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0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4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7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9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12" w:hRule="exact"/>
        </w:trPr>
        <w:tc>
          <w:tcPr>
            <w:tcW w:w="50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2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4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Layout w:type="fixed"/>
          <w:tblCellMar>
            <w:top w:w="0" w:type="dxa"/>
            <w:left w:w="0" w:type="dxa"/>
            <w:bottom w:w="0" w:type="dxa"/>
            <w:right w:w="0" w:type="dxa"/>
          </w:tblCellMar>
        </w:tblPrEx>
        <w:trPr>
          <w:trHeight w:val="312"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4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4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4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4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50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3,018.86</w:t>
            </w:r>
            <w:r>
              <w:rPr>
                <w:rFonts w:ascii="Times New Roman" w:hAnsi="Times New Roman"/>
                <w:b/>
                <w:sz w:val="20"/>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2,897.00</w:t>
            </w:r>
            <w:r>
              <w:rPr>
                <w:rFonts w:ascii="Times New Roman" w:hAnsi="Times New Roman"/>
                <w:b/>
                <w:sz w:val="20"/>
              </w:rPr>
              <w:t xml:space="preserve"> </w:t>
            </w:r>
          </w:p>
        </w:tc>
        <w:tc>
          <w:tcPr>
            <w:tcW w:w="11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1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13.29</w:t>
            </w:r>
            <w:r>
              <w:rPr>
                <w:rFonts w:ascii="Times New Roman" w:hAnsi="Times New Roman"/>
                <w:b/>
                <w:sz w:val="20"/>
              </w:rPr>
              <w:t xml:space="preserve"> </w:t>
            </w:r>
          </w:p>
        </w:tc>
        <w:tc>
          <w:tcPr>
            <w:tcW w:w="13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13.29</w:t>
            </w:r>
            <w:r>
              <w:rPr>
                <w:rFonts w:ascii="Times New Roman" w:hAnsi="Times New Roman"/>
                <w:b/>
                <w:sz w:val="20"/>
              </w:rPr>
              <w:t xml:space="preserve"> </w:t>
            </w:r>
          </w:p>
        </w:tc>
        <w:tc>
          <w:tcPr>
            <w:tcW w:w="12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5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108.57</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2,219.98</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2,098.12</w:t>
            </w:r>
            <w:r>
              <w:rPr>
                <w:rFonts w:ascii="Times New Roman" w:hAnsi="Times New Roman"/>
                <w:b/>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13.29</w:t>
            </w:r>
            <w:r>
              <w:rPr>
                <w:rFonts w:ascii="Times New Roman" w:hAnsi="Times New Roman"/>
                <w:b/>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13.29</w:t>
            </w:r>
            <w:r>
              <w:rPr>
                <w:rFonts w:ascii="Times New Roman" w:hAnsi="Times New Roman"/>
                <w:b/>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108.57</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2,214.97</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2,093.10</w:t>
            </w:r>
            <w:r>
              <w:rPr>
                <w:rFonts w:ascii="Times New Roman" w:hAnsi="Times New Roman"/>
                <w:b/>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13.29</w:t>
            </w:r>
            <w:r>
              <w:rPr>
                <w:rFonts w:ascii="Times New Roman" w:hAnsi="Times New Roman"/>
                <w:b/>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13.29</w:t>
            </w:r>
            <w:r>
              <w:rPr>
                <w:rFonts w:ascii="Times New Roman" w:hAnsi="Times New Roman"/>
                <w:b/>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108.57</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2050203</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初中教育</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2,214.97</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2,093.10</w:t>
            </w:r>
            <w:r>
              <w:rPr>
                <w:rFonts w:ascii="Times New Roman" w:hAnsi="Times New Roman"/>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13.29</w:t>
            </w:r>
            <w:r>
              <w:rPr>
                <w:rFonts w:ascii="Times New Roman" w:hAnsi="Times New Roman"/>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13.29</w:t>
            </w:r>
            <w:r>
              <w:rPr>
                <w:rFonts w:ascii="Times New Roman" w:hAnsi="Times New Roman"/>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108.57</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5.01</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5.01</w:t>
            </w:r>
            <w:r>
              <w:rPr>
                <w:rFonts w:ascii="Times New Roman" w:hAnsi="Times New Roman"/>
                <w:b/>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5.01</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5.01</w:t>
            </w:r>
            <w:r>
              <w:rPr>
                <w:rFonts w:ascii="Times New Roman" w:hAnsi="Times New Roman"/>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566.79</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566.79</w:t>
            </w:r>
            <w:r>
              <w:rPr>
                <w:rFonts w:ascii="Times New Roman" w:hAnsi="Times New Roman"/>
                <w:b/>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人力资源和社会保障管理事务</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11.72</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11.72</w:t>
            </w:r>
            <w:r>
              <w:rPr>
                <w:rFonts w:ascii="Times New Roman" w:hAnsi="Times New Roman"/>
                <w:b/>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2080199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其他人力资源和社会保障管理事务支出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11.72</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11.72</w:t>
            </w:r>
            <w:r>
              <w:rPr>
                <w:rFonts w:ascii="Times New Roman" w:hAnsi="Times New Roman"/>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555.07</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555.07</w:t>
            </w:r>
            <w:r>
              <w:rPr>
                <w:rFonts w:ascii="Times New Roman" w:hAnsi="Times New Roman"/>
                <w:b/>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250.75</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250.75</w:t>
            </w:r>
            <w:r>
              <w:rPr>
                <w:rFonts w:ascii="Times New Roman" w:hAnsi="Times New Roman"/>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125.52</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125.52</w:t>
            </w:r>
            <w:r>
              <w:rPr>
                <w:rFonts w:ascii="Times New Roman" w:hAnsi="Times New Roman"/>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178.80</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178.80</w:t>
            </w:r>
            <w:r>
              <w:rPr>
                <w:rFonts w:ascii="Times New Roman" w:hAnsi="Times New Roman"/>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104.52</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104.52</w:t>
            </w:r>
            <w:r>
              <w:rPr>
                <w:rFonts w:ascii="Times New Roman" w:hAnsi="Times New Roman"/>
                <w:b/>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104.52</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104.52</w:t>
            </w:r>
            <w:r>
              <w:rPr>
                <w:rFonts w:ascii="Times New Roman" w:hAnsi="Times New Roman"/>
                <w:b/>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104.52</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104.52</w:t>
            </w:r>
            <w:r>
              <w:rPr>
                <w:rFonts w:ascii="Times New Roman" w:hAnsi="Times New Roman"/>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124.22</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124.22</w:t>
            </w:r>
            <w:r>
              <w:rPr>
                <w:rFonts w:ascii="Times New Roman" w:hAnsi="Times New Roman"/>
                <w:b/>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124.22</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124.22</w:t>
            </w:r>
            <w:r>
              <w:rPr>
                <w:rFonts w:ascii="Times New Roman" w:hAnsi="Times New Roman"/>
                <w:b/>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124.22</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124.22</w:t>
            </w:r>
            <w:r>
              <w:rPr>
                <w:rFonts w:ascii="Times New Roman" w:hAnsi="Times New Roman"/>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224</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灾害防治及应急管理支出</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3.35</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3.35</w:t>
            </w:r>
            <w:r>
              <w:rPr>
                <w:rFonts w:ascii="Times New Roman" w:hAnsi="Times New Roman"/>
                <w:b/>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22406</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自然灾害防治</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3.35</w:t>
            </w:r>
            <w:r>
              <w:rPr>
                <w:rFonts w:ascii="Times New Roman" w:hAnsi="Times New Roman"/>
                <w:b/>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3.35</w:t>
            </w:r>
            <w:r>
              <w:rPr>
                <w:rFonts w:ascii="Times New Roman" w:hAnsi="Times New Roman"/>
                <w:b/>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2240601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地质灾害防治</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3.35</w:t>
            </w:r>
            <w:r>
              <w:rPr>
                <w:rFonts w:ascii="Times New Roman" w:hAnsi="Times New Roman"/>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3.35</w:t>
            </w:r>
            <w:r>
              <w:rPr>
                <w:rFonts w:ascii="Times New Roman" w:hAnsi="Times New Roman"/>
                <w:sz w:val="20"/>
              </w:rPr>
              <w:t xml:space="preserve"> </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重庆市垫江第六中学校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06"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Layout w:type="fixed"/>
          <w:tblCellMar>
            <w:top w:w="0" w:type="dxa"/>
            <w:left w:w="0" w:type="dxa"/>
            <w:bottom w:w="0" w:type="dxa"/>
            <w:right w:w="0" w:type="dxa"/>
          </w:tblCellMar>
        </w:tblPrEx>
        <w:trPr>
          <w:trHeight w:val="312"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06"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3,049.36</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2,774.41</w:t>
            </w:r>
            <w:r>
              <w:rPr>
                <w:rFonts w:ascii="Times New Roman" w:hAnsi="Times New Roman"/>
                <w:b/>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274.95</w:t>
            </w:r>
            <w:r>
              <w:rPr>
                <w:rFonts w:ascii="Times New Roman" w:hAnsi="Times New Roman"/>
                <w:b/>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2,250.48</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1,991.23</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259.25</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2,245.46</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1,986.21</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259.25</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初中教育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2,245.46</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1,986.21</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259.25</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5.01</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5.01</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5.01</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5.01</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566.79</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554.44</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12.36</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人力资源和社会保障管理事务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11.72</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11.72</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2080199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其他人力资源和社会保障管理事务支出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11.72</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11.72</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555.07</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554.44</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0.64</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250.75</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250.75</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125.52</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125.52</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178.80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178.17</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0.64</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104.52</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104.52</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104.52</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104.52</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104.52</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104.52</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124.22</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124.22</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124.22</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124.22</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124.22</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124.22</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灾害防治及应急管理支出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3.35</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3.35</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22406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自然灾害防治</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3.35</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3.35</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6"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2240601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地质灾害防治</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3.35</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3.35</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重庆市垫江第六中学校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2,897.00</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2,098.12</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2,098.12</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566.79</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566.79</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104.52</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104.52</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124.22</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124.22</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3.35</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3.35</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2,897.00</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2,897.00</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2,897.00</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2,897.00</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2,897.00</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2,897.00</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重庆市垫江第六中学校</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12" w:hRule="exac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12" w:hRule="exac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12" w:hRule="exac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12" w:hRule="exac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2,897.00</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2,626.56</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270.43</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2,098.12</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1,843.38</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254.73</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2,093.10</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1,838.37</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254.73</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2050203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初中教育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2,093.10</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1,838.37</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254.73</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5.01</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5.01</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5.01</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5.01</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566.79</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554.44</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12.36</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人力资源和社会保障管理事务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11.72</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11.72</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2080199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其他人力资源和社会保障管理事务支出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11.72</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11.72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555.07</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554.44</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0.64</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250.75</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250.75</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125.52</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125.52</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178.80</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178.17</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0.64</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104.52</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104.52</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104.52</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104.52</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104.52</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104.52</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124.22</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124.22</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124.22</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124.22</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124.22</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124.22</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灾害防治及应急管理支出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3.35</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3.35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22406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自然灾害防治</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3.35</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3.35</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12" w:hRule="exac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2240601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地质灾害防治</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3.35</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3.35</w:t>
            </w:r>
            <w:r>
              <w:rPr>
                <w:rFonts w:ascii="Times New Roman" w:hAnsi="Times New Roman"/>
                <w:sz w:val="20"/>
              </w:rPr>
              <w:t xml:space="preserve"> </w:t>
            </w:r>
          </w:p>
        </w:tc>
      </w:tr>
    </w:tbl>
    <w:p>
      <w:pPr>
        <w:rPr>
          <w:rFonts w:cs="宋体"/>
          <w:sz w:val="20"/>
          <w:szCs w:val="20"/>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重庆市垫江第六中学校</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2,404.07</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44.33</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562.53</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83.50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1,115.88</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250.75</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125.52</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104.52</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3.28</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124.22</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33.86</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178.17</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5.01</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144.08</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12.00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26.91</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sz w:val="18"/>
                <w:szCs w:val="18"/>
              </w:rPr>
            </w:pPr>
            <w:r>
              <w:rPr>
                <w:rFonts w:cs="宋体"/>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22.08</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12.41</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sz w:val="18"/>
                <w:szCs w:val="18"/>
              </w:rPr>
            </w:pPr>
            <w:r>
              <w:rPr>
                <w:rFonts w:hint="default" w:ascii="Times New Roman" w:hAnsi="Times New Roman"/>
                <w:sz w:val="18"/>
                <w:szCs w:val="18"/>
              </w:rPr>
              <w:t>2,582.24</w:t>
            </w:r>
            <w:r>
              <w:rPr>
                <w:rFonts w:ascii="Times New Roman" w:hAnsi="Times New Roman"/>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44.33</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重庆市垫江第六中学校</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重庆市垫江第六中学校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重庆市垫江第六中学校</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21.50</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21.50</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21.50</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21.50</w:t>
            </w: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8.33</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18.03</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黑体_GBK">
    <w:panose1 w:val="02010600010101010101"/>
    <w:charset w:val="86"/>
    <w:family w:val="script"/>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ZDc1MDY2N2QxZTRiZDAxNzlmNWEyOWQxNmEzNzQifQ=="/>
  </w:docVars>
  <w:rsids>
    <w:rsidRoot w:val="00B03CCD"/>
    <w:rsid w:val="000239C6"/>
    <w:rsid w:val="0018531B"/>
    <w:rsid w:val="001D3BB7"/>
    <w:rsid w:val="002B254B"/>
    <w:rsid w:val="00387A20"/>
    <w:rsid w:val="00466C9B"/>
    <w:rsid w:val="004E1DAA"/>
    <w:rsid w:val="00550ABE"/>
    <w:rsid w:val="006C5E1E"/>
    <w:rsid w:val="00770383"/>
    <w:rsid w:val="007819D4"/>
    <w:rsid w:val="007B419D"/>
    <w:rsid w:val="007B7C4B"/>
    <w:rsid w:val="007D3D39"/>
    <w:rsid w:val="00994AF7"/>
    <w:rsid w:val="009B67B8"/>
    <w:rsid w:val="009D2B67"/>
    <w:rsid w:val="00A16794"/>
    <w:rsid w:val="00A566F9"/>
    <w:rsid w:val="00AE602F"/>
    <w:rsid w:val="00AF2751"/>
    <w:rsid w:val="00B03CCD"/>
    <w:rsid w:val="00B27DAE"/>
    <w:rsid w:val="00BE2B89"/>
    <w:rsid w:val="00C10E9E"/>
    <w:rsid w:val="00C20C3E"/>
    <w:rsid w:val="00C84F70"/>
    <w:rsid w:val="00CF2ACF"/>
    <w:rsid w:val="00E20045"/>
    <w:rsid w:val="00E3664A"/>
    <w:rsid w:val="00E87D63"/>
    <w:rsid w:val="00F73F90"/>
    <w:rsid w:val="00FB4B3B"/>
    <w:rsid w:val="01474EBF"/>
    <w:rsid w:val="01F3521E"/>
    <w:rsid w:val="03B87EA0"/>
    <w:rsid w:val="03D44C9A"/>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DE21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2A391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AC8754D"/>
    <w:rsid w:val="4B135857"/>
    <w:rsid w:val="4B285230"/>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040454"/>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_Style 1"/>
    <w:basedOn w:val="1"/>
    <w:qFormat/>
    <w:uiPriority w:val="34"/>
    <w:pPr>
      <w:widowControl w:val="0"/>
      <w:ind w:firstLine="420" w:firstLineChars="200"/>
      <w:jc w:val="both"/>
    </w:pPr>
    <w:rPr>
      <w:rFonts w:hint="default" w:ascii="Times New Roman" w:hAnsi="Times New Roman"/>
      <w:kern w:val="2"/>
      <w:sz w:val="21"/>
      <w:szCs w:val="22"/>
    </w:rPr>
  </w:style>
  <w:style w:type="paragraph" w:styleId="17">
    <w:name w:val="List Paragraph"/>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8582</Words>
  <Characters>11549</Characters>
  <Lines>103</Lines>
  <Paragraphs>29</Paragraphs>
  <TotalTime>0</TotalTime>
  <ScaleCrop>false</ScaleCrop>
  <LinksUpToDate>false</LinksUpToDate>
  <CharactersWithSpaces>12658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2025-09-22T07:23:37Z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