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重庆市垫江第二中学校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3" w:firstLineChars="200"/>
        <w:rPr>
          <w:rFonts w:eastAsia="方正楷体_GBK"/>
          <w:b/>
          <w:bCs/>
          <w:sz w:val="32"/>
          <w:szCs w:val="32"/>
        </w:rPr>
      </w:pPr>
      <w:r>
        <w:rPr>
          <w:rFonts w:eastAsia="方正楷体_GBK"/>
          <w:b/>
          <w:bCs/>
          <w:sz w:val="32"/>
          <w:szCs w:val="32"/>
        </w:rPr>
        <w:t>（一）职能职责</w:t>
      </w:r>
    </w:p>
    <w:p>
      <w:pPr>
        <w:spacing w:line="600" w:lineRule="exact"/>
        <w:ind w:firstLine="640" w:firstLineChars="200"/>
        <w:rPr>
          <w:rFonts w:eastAsia="方正仿宋_GBK"/>
          <w:sz w:val="32"/>
        </w:rPr>
      </w:pPr>
      <w:r>
        <w:rPr>
          <w:rFonts w:eastAsia="方正仿宋_GBK"/>
          <w:sz w:val="32"/>
        </w:rPr>
        <w:t>1．实施高中和初中基础教育；实施高中阶段教育，适龄青少年义务教育，全面推进素质教育；负责学校卫生、安全、稳定，学校经费与校产管理，师资队伍建设，制定本区域教育发展规划。</w:t>
      </w:r>
    </w:p>
    <w:p>
      <w:pPr>
        <w:pStyle w:val="11"/>
        <w:tabs>
          <w:tab w:val="center" w:pos="4153"/>
          <w:tab w:val="left" w:pos="7275"/>
        </w:tabs>
        <w:spacing w:line="600" w:lineRule="exact"/>
        <w:ind w:firstLine="640"/>
        <w:rPr>
          <w:rFonts w:eastAsia="方正仿宋_GBK"/>
          <w:sz w:val="32"/>
        </w:rPr>
      </w:pPr>
      <w:r>
        <w:rPr>
          <w:rFonts w:eastAsia="方正仿宋_GBK"/>
          <w:sz w:val="32"/>
        </w:rPr>
        <w:t>2．受县教育行政部门委托，做好党的教育方针及教育法规贯彻落实，全面推进素质教育。负责学校教育教学、教育科研、师资队伍、学校经费收支与校产管理与指导；负责教育统计；负责落实其他工作。协助所在乡镇人民政府做好适龄青少年依法接受义务教育的工作。</w:t>
      </w:r>
    </w:p>
    <w:p>
      <w:pPr>
        <w:spacing w:line="600" w:lineRule="exact"/>
        <w:ind w:firstLine="643" w:firstLineChars="200"/>
        <w:rPr>
          <w:rFonts w:eastAsia="方正楷体_GBK"/>
          <w:b/>
          <w:bCs/>
          <w:sz w:val="32"/>
          <w:szCs w:val="32"/>
        </w:rPr>
      </w:pPr>
      <w:r>
        <w:rPr>
          <w:rFonts w:eastAsia="方正楷体_GBK"/>
          <w:b/>
          <w:bCs/>
          <w:sz w:val="32"/>
          <w:szCs w:val="32"/>
        </w:rPr>
        <w:t>（二）机构设置</w:t>
      </w:r>
    </w:p>
    <w:p>
      <w:pPr>
        <w:spacing w:line="600" w:lineRule="exact"/>
        <w:ind w:firstLine="640" w:firstLineChars="200"/>
        <w:rPr>
          <w:rFonts w:eastAsia="方正仿宋_GBK"/>
          <w:sz w:val="32"/>
        </w:rPr>
      </w:pPr>
      <w:r>
        <w:rPr>
          <w:rFonts w:eastAsia="方正仿宋_GBK"/>
          <w:sz w:val="32"/>
        </w:rPr>
        <w:t>学校设有办公室、德育处、安稳办、教务处、教科处、后勤处、团委、工会以及党总支、文科支部、理科支部、后勤支部。</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2024年度收入总计4792.81万元，支出总计</w:t>
      </w:r>
      <w:r>
        <w:rPr>
          <w:rFonts w:ascii="方正仿宋_GBK" w:hAnsi="方正仿宋_GBK" w:eastAsia="方正仿宋_GBK" w:cs="方正仿宋_GBK"/>
          <w:sz w:val="32"/>
          <w:szCs w:val="32"/>
        </w:rPr>
        <w:t>4792.81</w:t>
      </w:r>
      <w:r>
        <w:rPr>
          <w:rFonts w:ascii="方正仿宋_GBK" w:hAnsi="方正仿宋_GBK" w:eastAsia="方正仿宋_GBK" w:cs="方正仿宋_GBK"/>
          <w:sz w:val="32"/>
          <w:szCs w:val="32"/>
          <w:shd w:val="clear" w:color="auto" w:fill="FFFFFF"/>
        </w:rPr>
        <w:t>万元。收、支与2023年度相比，减少478.66万元，下降9.08%，主要原因是2023年清算补发以前年度超额绩效和健康休养费。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2024年度收入合计4731.72万元，与2023年度相比，减少476.40万元，下降9.15%，主要原因是2023年清算补发以前年度超额绩效和健康休养费。其中：财政拨款收入</w:t>
      </w:r>
      <w:r>
        <w:rPr>
          <w:rFonts w:ascii="方正仿宋_GBK" w:hAnsi="方正仿宋_GBK" w:eastAsia="方正仿宋_GBK" w:cs="方正仿宋_GBK"/>
          <w:sz w:val="32"/>
          <w:szCs w:val="32"/>
        </w:rPr>
        <w:t>4421.55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93.44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165.75</w:t>
      </w:r>
      <w:r>
        <w:rPr>
          <w:rFonts w:ascii="方正仿宋_GBK" w:hAnsi="方正仿宋_GBK" w:eastAsia="方正仿宋_GBK" w:cs="方正仿宋_GBK"/>
          <w:sz w:val="32"/>
          <w:szCs w:val="32"/>
          <w:shd w:val="clear" w:color="auto" w:fill="FFFFFF"/>
        </w:rPr>
        <w:t>万元，占3.50%；经营收入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144.41</w:t>
      </w:r>
      <w:r>
        <w:rPr>
          <w:rFonts w:ascii="方正仿宋_GBK" w:hAnsi="方正仿宋_GBK" w:eastAsia="方正仿宋_GBK" w:cs="方正仿宋_GBK"/>
          <w:sz w:val="32"/>
          <w:szCs w:val="32"/>
          <w:shd w:val="clear" w:color="auto" w:fill="FFFFFF"/>
        </w:rPr>
        <w:t>万元，占3.05%。此外，使用非财政拨款结余和专用结余</w:t>
      </w:r>
      <w:r>
        <w:rPr>
          <w:rFonts w:ascii="方正仿宋_GBK" w:hAnsi="方正仿宋_GBK" w:eastAsia="方正仿宋_GBK" w:cs="方正仿宋_GBK"/>
          <w:sz w:val="32"/>
          <w:szCs w:val="32"/>
        </w:rPr>
        <w:t>61.09</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4718.74</w:t>
      </w:r>
      <w:r>
        <w:rPr>
          <w:rFonts w:ascii="方正仿宋_GBK" w:hAnsi="方正仿宋_GBK" w:eastAsia="方正仿宋_GBK" w:cs="方正仿宋_GBK"/>
          <w:sz w:val="32"/>
          <w:szCs w:val="32"/>
          <w:shd w:val="clear" w:color="auto" w:fill="FFFFFF"/>
        </w:rPr>
        <w:t>万元，与2023年度相比，减少470.11万元，下降9.06%，主要原因是2023年清算补发以前年度超额绩效和健康休养费。其中：基本支出</w:t>
      </w:r>
      <w:r>
        <w:rPr>
          <w:rFonts w:ascii="方正仿宋_GBK" w:hAnsi="方正仿宋_GBK" w:eastAsia="方正仿宋_GBK" w:cs="方正仿宋_GBK"/>
          <w:sz w:val="32"/>
          <w:szCs w:val="32"/>
        </w:rPr>
        <w:t>4376.35</w:t>
      </w:r>
      <w:r>
        <w:rPr>
          <w:rFonts w:ascii="方正仿宋_GBK" w:hAnsi="方正仿宋_GBK" w:eastAsia="方正仿宋_GBK" w:cs="方正仿宋_GBK"/>
          <w:sz w:val="32"/>
          <w:szCs w:val="32"/>
          <w:shd w:val="clear" w:color="auto" w:fill="FFFFFF"/>
        </w:rPr>
        <w:t>万元，占92.74%；项目支出</w:t>
      </w:r>
      <w:r>
        <w:rPr>
          <w:rFonts w:ascii="方正仿宋_GBK" w:hAnsi="方正仿宋_GBK" w:eastAsia="方正仿宋_GBK" w:cs="方正仿宋_GBK"/>
          <w:sz w:val="32"/>
          <w:szCs w:val="32"/>
        </w:rPr>
        <w:t>342.39</w:t>
      </w:r>
      <w:r>
        <w:rPr>
          <w:rFonts w:ascii="方正仿宋_GBK" w:hAnsi="方正仿宋_GBK" w:eastAsia="方正仿宋_GBK" w:cs="方正仿宋_GBK"/>
          <w:sz w:val="32"/>
          <w:szCs w:val="32"/>
          <w:shd w:val="clear" w:color="auto" w:fill="FFFFFF"/>
        </w:rPr>
        <w:t>万元，占7.26%；经营支出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74.07</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2024年度财政拨款收、支总计4421.55万元。与2023年相比，财政拨款收、支总计各减少427.76万元，下降8.82%。主要原因是2023年清算补发以前年度超额绩效和健康休养费。</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4421.55</w:t>
      </w:r>
      <w:r>
        <w:rPr>
          <w:rFonts w:ascii="方正仿宋_GBK" w:hAnsi="方正仿宋_GBK" w:eastAsia="方正仿宋_GBK" w:cs="方正仿宋_GBK"/>
          <w:sz w:val="32"/>
          <w:szCs w:val="32"/>
          <w:shd w:val="clear" w:color="auto" w:fill="FFFFFF"/>
        </w:rPr>
        <w:t>万元，与2023年度相比，减少427.76万元，下降8.82%。主要原因是2023年清算补发以前年度超额绩效和健康休养费。较年初预算数增加400.28万元，增长9.95%。主要原因是超额绩效纳入养老保险和职业年金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4421.55</w:t>
      </w:r>
      <w:r>
        <w:rPr>
          <w:rFonts w:ascii="方正仿宋_GBK" w:hAnsi="方正仿宋_GBK" w:eastAsia="方正仿宋_GBK" w:cs="方正仿宋_GBK"/>
          <w:sz w:val="32"/>
          <w:szCs w:val="32"/>
          <w:shd w:val="clear" w:color="auto" w:fill="FFFFFF"/>
        </w:rPr>
        <w:t>万元，与2023年度相比，减少427.76万元，下降8.82%。主要原因是2023年清算补发以前年度超额绩效和健康休养费。较年初预算数增加400.28万元，增长9.95%。主要原因是超额绩效纳入养老保险和职业年金基数。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3267.39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73.90</w:t>
      </w:r>
      <w:r>
        <w:rPr>
          <w:rFonts w:ascii="方正仿宋_GBK" w:hAnsi="方正仿宋_GBK" w:eastAsia="方正仿宋_GBK" w:cs="方正仿宋_GBK"/>
          <w:sz w:val="32"/>
          <w:szCs w:val="32"/>
          <w:shd w:val="clear" w:color="auto" w:fill="FFFFFF"/>
        </w:rPr>
        <w:t>%，较年初预算数增加193.20万元，增长6.28%，主要原因是本年预算执行中因教职工正常晋升、岗位职级变化等人员经费增加所致。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786.29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17.78</w:t>
      </w:r>
      <w:r>
        <w:rPr>
          <w:rFonts w:ascii="方正仿宋_GBK" w:hAnsi="方正仿宋_GBK" w:eastAsia="方正仿宋_GBK" w:cs="方正仿宋_GBK"/>
          <w:sz w:val="32"/>
          <w:szCs w:val="32"/>
          <w:shd w:val="clear" w:color="auto" w:fill="FFFFFF"/>
        </w:rPr>
        <w:t>%，较年初预算数增加221.03万元，增长39.10%，主要原因是本年预算执行中将超额绩效纳入养老保险和职业年金基数增加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bookmarkStart w:id="0" w:name="_GoBack"/>
      <w:bookmarkEnd w:id="0"/>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169.84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3.84</w:t>
      </w:r>
      <w:r>
        <w:rPr>
          <w:rFonts w:ascii="方正仿宋_GBK" w:hAnsi="方正仿宋_GBK" w:eastAsia="方正仿宋_GBK" w:cs="方正仿宋_GBK"/>
          <w:sz w:val="32"/>
          <w:szCs w:val="32"/>
          <w:shd w:val="clear" w:color="auto" w:fill="FFFFFF"/>
        </w:rPr>
        <w:t>%，较年初预算数减少3.72万元，下降2.14%，主要原因是本年预算执行中因教职工退休减少了缴费基数。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住房保障支出198.03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4.48</w:t>
      </w:r>
      <w:r>
        <w:rPr>
          <w:rFonts w:ascii="方正仿宋_GBK" w:hAnsi="方正仿宋_GBK" w:eastAsia="方正仿宋_GBK" w:cs="方正仿宋_GBK"/>
          <w:sz w:val="32"/>
          <w:szCs w:val="32"/>
          <w:shd w:val="clear" w:color="auto" w:fill="FFFFFF"/>
        </w:rPr>
        <w:t>%，较年初预算数减少10.24万元，下降4.92%，主要原因是本年预算执行中因教职工退休减少了缴费基数。</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4091.31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4028.24</w:t>
      </w:r>
      <w:r>
        <w:rPr>
          <w:rFonts w:ascii="方正仿宋_GBK" w:hAnsi="方正仿宋_GBK" w:eastAsia="方正仿宋_GBK" w:cs="方正仿宋_GBK"/>
          <w:sz w:val="32"/>
          <w:szCs w:val="32"/>
          <w:shd w:val="clear" w:color="auto" w:fill="FFFFFF"/>
        </w:rPr>
        <w:t>万元，与2023年度相比，减少437.58万元，下降9.80%，主要原因是2023年清算补发以前年度超额绩效和健康休养费。人员经费用途主要包括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63.07</w:t>
      </w:r>
      <w:r>
        <w:rPr>
          <w:rFonts w:ascii="方正仿宋_GBK" w:hAnsi="方正仿宋_GBK" w:eastAsia="方正仿宋_GBK" w:cs="方正仿宋_GBK"/>
          <w:sz w:val="32"/>
          <w:szCs w:val="32"/>
          <w:shd w:val="clear" w:color="auto" w:fill="FFFFFF"/>
        </w:rPr>
        <w:t>万元，与2023年度相比，减少4.62万元，下降6.83%，主要原因是工会经费、培训费、福利费的预算基数减少所致。公用经费用途主要包括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车运行维护费0.00万元。费用支出较年初预算数无增减，主要原因是年初预算未安排且本年未发生公务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车运行维护费用。较上年支出数无增减，主要原因是上年和本年均未发生公务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13.08</w:t>
      </w:r>
      <w:r>
        <w:rPr>
          <w:rFonts w:ascii="方正仿宋_GBK" w:hAnsi="方正仿宋_GBK" w:eastAsia="方正仿宋_GBK" w:cs="方正仿宋_GBK"/>
          <w:sz w:val="32"/>
          <w:szCs w:val="32"/>
          <w:shd w:val="clear" w:color="auto" w:fill="FFFFFF"/>
        </w:rPr>
        <w:t>万元，与2023年度相比，减少5.28万元，下降28.76%，主要原因是</w:t>
      </w:r>
      <w:r>
        <w:rPr>
          <w:rFonts w:hint="eastAsia" w:ascii="方正仿宋_GBK" w:hAnsi="方正仿宋_GBK" w:eastAsia="方正仿宋_GBK" w:cs="方正仿宋_GBK"/>
          <w:sz w:val="32"/>
          <w:szCs w:val="32"/>
          <w:shd w:val="clear" w:color="auto" w:fill="FFFFFF"/>
        </w:rPr>
        <w:t>学校</w:t>
      </w:r>
      <w:r>
        <w:rPr>
          <w:rFonts w:ascii="方正仿宋_GBK" w:hAnsi="方正仿宋_GBK" w:eastAsia="方正仿宋_GBK" w:cs="方正仿宋_GBK"/>
          <w:sz w:val="32"/>
          <w:szCs w:val="32"/>
          <w:shd w:val="clear" w:color="auto" w:fill="FFFFFF"/>
        </w:rPr>
        <w:t>压缩公用经费支出，减少了师资队伍的培训。</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根据预算绩效管理要求，我单位对13个二级项目开展了绩效自评，涉及财政拨款项目支出资金330.24万元。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561965" cy="4872355"/>
            <wp:effectExtent l="0" t="0" r="63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561965" cy="4872355"/>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highlight w:val="red"/>
          <w:shd w:val="clear" w:color="auto" w:fill="FFFFFF"/>
          <w:lang w:val="en-US"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897880" cy="4946015"/>
            <wp:effectExtent l="0" t="0" r="762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897880"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rPr>
        <w:t>杨老师   023-74669306</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重庆市垫江第二中学校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4,421.55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165.75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3,564.57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786.29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4,731.72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4,718.74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4,792.81</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4,792.81</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重庆市垫江第二中学校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4,731.72</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4,421.55</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165.75</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165.75</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144.41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3,577.56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3,267.39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165.75</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165.75</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144.41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3,569.76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3,259.59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165.75</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165.75</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144.41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1,292.67</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1,168.55</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高中教育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2,277.09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2,091.04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165.75</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165.75</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786.29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786.29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786.29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786.29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404.33</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404.33</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202.37</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202.37</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169.84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169.84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169.84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169.84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169.84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169.84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198.03</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198.03</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重庆市垫江第二中学校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4,718.74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4,376.35</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342.39</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3,564.57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3,222.75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341.82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3,556.78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3,214.96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341.82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1,218.59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1,015.36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203.24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高中教育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2,338.18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2,199.60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138.58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786.29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785.72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786.29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785.72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404.33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404.33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202.37</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169.84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169.84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169.84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169.84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169.84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169.84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重庆市垫江第二中学校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4,421.55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3,267.39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3,267.39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786.29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786.29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169.84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169.84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198.03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198.03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4,421.55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4,421.55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4,421.55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4,421.55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4,421.55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4,421.55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重庆市垫江第二中学校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4,421.55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4,091.31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330.24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3,267.39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2,937.72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329.67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3,259.59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2,929.92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329.67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1,168.55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965.32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高中教育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2,091.04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1,964.61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126.44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786.29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785.72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786.29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785.72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404.33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404.33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202.37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202.37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179.59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179.02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169.84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169.84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169.84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169.84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169.84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169.84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198.03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198.03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198.03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198.03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重庆市垫江第二中学校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3,849.22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881.30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131.75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1,825.67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404.33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202.37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169.84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198.03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179.02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4,028.24</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63.07</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重庆市垫江第二中学校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重庆市垫江第二中学校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重庆市垫江第二中学校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13.08</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6.42</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c1MDY2N2QxZTRiZDAxNzlmNWEyOWQxNmEzNzQifQ=="/>
  </w:docVars>
  <w:rsids>
    <w:rsidRoot w:val="00B03CCD"/>
    <w:rsid w:val="000239C6"/>
    <w:rsid w:val="00063FD2"/>
    <w:rsid w:val="00116489"/>
    <w:rsid w:val="001D3BB7"/>
    <w:rsid w:val="002B254B"/>
    <w:rsid w:val="00466C9B"/>
    <w:rsid w:val="00550ABE"/>
    <w:rsid w:val="006246EB"/>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EF03D5"/>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533A84"/>
    <w:rsid w:val="24B92327"/>
    <w:rsid w:val="24C14514"/>
    <w:rsid w:val="2533755C"/>
    <w:rsid w:val="25791755"/>
    <w:rsid w:val="25A600BF"/>
    <w:rsid w:val="26396DF4"/>
    <w:rsid w:val="27167136"/>
    <w:rsid w:val="271B442C"/>
    <w:rsid w:val="27B23302"/>
    <w:rsid w:val="29310A5F"/>
    <w:rsid w:val="29C37A35"/>
    <w:rsid w:val="2A076083"/>
    <w:rsid w:val="2A73162E"/>
    <w:rsid w:val="2B167953"/>
    <w:rsid w:val="2B200583"/>
    <w:rsid w:val="2B36400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E7E494C"/>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6960D9"/>
    <w:rsid w:val="5582012B"/>
    <w:rsid w:val="558E4E05"/>
    <w:rsid w:val="55BE2E85"/>
    <w:rsid w:val="56530F5D"/>
    <w:rsid w:val="567700D3"/>
    <w:rsid w:val="56FF7E9E"/>
    <w:rsid w:val="578867FC"/>
    <w:rsid w:val="5842572D"/>
    <w:rsid w:val="5A3B59D6"/>
    <w:rsid w:val="5AD134D8"/>
    <w:rsid w:val="5B9A01F8"/>
    <w:rsid w:val="5C263CE4"/>
    <w:rsid w:val="5C5D2777"/>
    <w:rsid w:val="5CE970EC"/>
    <w:rsid w:val="5CF66BF3"/>
    <w:rsid w:val="5D290C69"/>
    <w:rsid w:val="5F2D4A41"/>
    <w:rsid w:val="60C74F6C"/>
    <w:rsid w:val="61025A59"/>
    <w:rsid w:val="61144457"/>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7A078F"/>
    <w:rsid w:val="67924660"/>
    <w:rsid w:val="68407834"/>
    <w:rsid w:val="6883293E"/>
    <w:rsid w:val="688412AD"/>
    <w:rsid w:val="68EB1B71"/>
    <w:rsid w:val="6A6C7940"/>
    <w:rsid w:val="6AAD2300"/>
    <w:rsid w:val="6B474EF5"/>
    <w:rsid w:val="6C0A5AC5"/>
    <w:rsid w:val="6C1C749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66264A"/>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8479</Words>
  <Characters>11158</Characters>
  <Lines>99</Lines>
  <Paragraphs>28</Paragraphs>
  <TotalTime>0</TotalTime>
  <ScaleCrop>false</ScaleCrop>
  <LinksUpToDate>false</LinksUpToDate>
  <CharactersWithSpaces>12197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2025-09-22T07:07:15Z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