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center"/>
        <w:rPr>
          <w:rFonts w:hint="default" w:ascii="方正小标宋_GBK" w:hAnsi="华文中宋" w:eastAsia="方正小标宋_GBK" w:cs="华文中宋"/>
          <w:kern w:val="2"/>
          <w:sz w:val="44"/>
          <w:szCs w:val="44"/>
        </w:rPr>
      </w:pPr>
      <w:r>
        <w:rPr>
          <w:rFonts w:ascii="方正小标宋_GBK" w:hAnsi="华文中宋" w:eastAsia="方正小标宋_GBK" w:cs="华文中宋"/>
          <w:kern w:val="2"/>
          <w:sz w:val="44"/>
          <w:szCs w:val="44"/>
        </w:rPr>
        <w:t>垫江县周嘉镇中心幼儿园</w:t>
      </w:r>
    </w:p>
    <w:p>
      <w:pPr>
        <w:widowControl w:val="0"/>
        <w:spacing w:line="600" w:lineRule="exact"/>
        <w:jc w:val="center"/>
        <w:rPr>
          <w:rFonts w:hint="default" w:ascii="方正小标宋_GBK" w:hAnsi="华文中宋" w:eastAsia="方正小标宋_GBK" w:cs="华文中宋"/>
          <w:kern w:val="2"/>
          <w:sz w:val="44"/>
          <w:szCs w:val="44"/>
        </w:rPr>
      </w:pPr>
      <w:r>
        <w:rPr>
          <w:rFonts w:ascii="方正小标宋_GBK" w:hAnsi="华文中宋" w:eastAsia="方正小标宋_GBK" w:cs="华文中宋"/>
          <w:kern w:val="2"/>
          <w:sz w:val="44"/>
          <w:szCs w:val="44"/>
        </w:rPr>
        <w:t>2024年度决算公开说明</w:t>
      </w:r>
    </w:p>
    <w:p>
      <w:pPr>
        <w:spacing w:line="600" w:lineRule="exact"/>
        <w:ind w:firstLine="880" w:firstLineChars="200"/>
        <w:jc w:val="center"/>
        <w:rPr>
          <w:rFonts w:hint="default" w:ascii="华文中宋" w:hAnsi="华文中宋" w:eastAsia="华文中宋" w:cs="华文中宋"/>
          <w:sz w:val="44"/>
          <w:szCs w:val="44"/>
        </w:rPr>
      </w:pPr>
    </w:p>
    <w:p>
      <w:pPr>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ind w:firstLine="643" w:firstLineChars="200"/>
        <w:rPr>
          <w:rFonts w:hint="default" w:eastAsia="方正楷体_GBK"/>
          <w:b/>
          <w:bCs/>
          <w:sz w:val="32"/>
          <w:szCs w:val="32"/>
        </w:rPr>
      </w:pPr>
      <w:r>
        <w:rPr>
          <w:rFonts w:eastAsia="方正楷体_GBK"/>
          <w:b/>
          <w:bCs/>
          <w:sz w:val="32"/>
          <w:szCs w:val="32"/>
        </w:rPr>
        <w:t>（一）职能职责</w:t>
      </w:r>
    </w:p>
    <w:p>
      <w:pPr>
        <w:pStyle w:val="16"/>
        <w:tabs>
          <w:tab w:val="center" w:pos="4153"/>
          <w:tab w:val="left" w:pos="7275"/>
        </w:tabs>
        <w:ind w:firstLine="640"/>
        <w:rPr>
          <w:rFonts w:hint="default" w:eastAsia="方正仿宋_GBK"/>
          <w:sz w:val="32"/>
        </w:rPr>
      </w:pPr>
      <w:r>
        <w:rPr>
          <w:rFonts w:eastAsia="方正仿宋_GBK"/>
          <w:sz w:val="32"/>
        </w:rPr>
        <w:t>为学龄前儿童提供保育和教育服务。负责学龄前儿童教育和保育工作，全面推进素质教育，加强幼儿园师资队伍建设。</w:t>
      </w:r>
    </w:p>
    <w:p>
      <w:pPr>
        <w:pStyle w:val="17"/>
        <w:tabs>
          <w:tab w:val="center" w:pos="4153"/>
          <w:tab w:val="left" w:pos="7275"/>
        </w:tabs>
        <w:ind w:firstLine="643"/>
        <w:rPr>
          <w:rFonts w:hint="default" w:eastAsia="方正楷体_GBK"/>
          <w:b/>
          <w:bCs/>
          <w:sz w:val="32"/>
          <w:szCs w:val="32"/>
        </w:rPr>
      </w:pPr>
      <w:r>
        <w:rPr>
          <w:rFonts w:eastAsia="方正楷体_GBK"/>
          <w:b/>
          <w:bCs/>
          <w:sz w:val="32"/>
          <w:szCs w:val="32"/>
        </w:rPr>
        <w:t>（二）机构设置</w:t>
      </w:r>
    </w:p>
    <w:p>
      <w:pPr>
        <w:ind w:left="730" w:leftChars="304"/>
        <w:rPr>
          <w:rFonts w:hint="default" w:eastAsia="方正仿宋_GBK"/>
          <w:sz w:val="32"/>
        </w:rPr>
      </w:pPr>
      <w:r>
        <w:rPr>
          <w:rFonts w:eastAsia="方正仿宋_GBK"/>
          <w:sz w:val="32"/>
        </w:rPr>
        <w:t>本单位内设机构包含：教务处、后勤处</w:t>
      </w:r>
    </w:p>
    <w:p>
      <w:pPr>
        <w:ind w:firstLine="640" w:firstLineChars="200"/>
        <w:rPr>
          <w:rFonts w:hint="default" w:eastAsia="方正仿宋_GBK"/>
          <w:sz w:val="32"/>
        </w:rPr>
      </w:pPr>
      <w:r>
        <w:rPr>
          <w:rFonts w:eastAsia="方正仿宋_GBK"/>
          <w:sz w:val="32"/>
        </w:rPr>
        <w:t>经费形式：财政全额拨款。</w:t>
      </w:r>
    </w:p>
    <w:p>
      <w:pPr>
        <w:ind w:firstLine="640" w:firstLineChars="200"/>
        <w:rPr>
          <w:rFonts w:hint="default" w:eastAsia="方正仿宋_GBK"/>
          <w:sz w:val="32"/>
          <w:szCs w:val="32"/>
        </w:rPr>
      </w:pPr>
      <w:r>
        <w:rPr>
          <w:rFonts w:eastAsia="方正仿宋_GBK"/>
          <w:sz w:val="32"/>
        </w:rPr>
        <w:t>领导职数：单位领导职数4名，其中：园长1名、副园长1名；内设机构领导职数2名。</w:t>
      </w:r>
    </w:p>
    <w:p>
      <w:pPr>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2024年度收入总计303.05万元，支出总计</w:t>
      </w:r>
      <w:r>
        <w:rPr>
          <w:rFonts w:ascii="方正仿宋_GBK" w:hAnsi="方正仿宋_GBK" w:eastAsia="方正仿宋_GBK" w:cs="方正仿宋_GBK"/>
          <w:sz w:val="32"/>
          <w:szCs w:val="32"/>
        </w:rPr>
        <w:t>303.05</w:t>
      </w:r>
      <w:r>
        <w:rPr>
          <w:rFonts w:ascii="方正仿宋_GBK" w:hAnsi="方正仿宋_GBK" w:eastAsia="方正仿宋_GBK" w:cs="方正仿宋_GBK"/>
          <w:sz w:val="32"/>
          <w:szCs w:val="32"/>
          <w:shd w:val="clear" w:color="auto" w:fill="FFFFFF"/>
        </w:rPr>
        <w:t>万元。收、支与2023年度相比，增加0.93万元，增长0.31%，主要原因是本年参加课后延时服务幼儿较上年增加致捐赠等其他收入增加。</w:t>
      </w:r>
    </w:p>
    <w:p>
      <w:pPr>
        <w:ind w:firstLine="630" w:firstLineChars="196"/>
        <w:rPr>
          <w:rFonts w:ascii="方正仿宋_GBK" w:eastAsia="方正仿宋_GBK"/>
          <w:sz w:val="32"/>
          <w:szCs w:val="32"/>
        </w:rPr>
      </w:pPr>
      <w:r>
        <w:rPr>
          <w:rFonts w:ascii="方正仿宋_GBK" w:eastAsia="方正仿宋_GBK"/>
          <w:b/>
          <w:sz w:val="32"/>
          <w:szCs w:val="32"/>
        </w:rPr>
        <w:t>2.收入情况。</w:t>
      </w:r>
      <w:r>
        <w:rPr>
          <w:rFonts w:ascii="方正仿宋_GBK" w:eastAsia="方正仿宋_GBK"/>
          <w:sz w:val="32"/>
          <w:szCs w:val="32"/>
        </w:rPr>
        <w:t>2024年度收入合计295.35万元，与2023年度相比，减少1.28万元，下降0.43%，主要原因是2023年清算补发以前年度超额绩效和健康休养费且本年因教师人数减少致人员经费减少，幼儿人数减少致公用经费、事业收入减少。其中：财政拨款收入232.43万元，占78.69%；事业收入52.78万元，占17.87%；经营收入0.00万元，占0.00%；其他收入10.15万元，占3.44%。此外，使用非财政拨款结余和专用结余0.00万元，年初结转和结余7.70万元。</w:t>
      </w:r>
    </w:p>
    <w:p>
      <w:pPr>
        <w:ind w:firstLine="643" w:firstLineChars="200"/>
        <w:rPr>
          <w:rFonts w:ascii="方正仿宋_GBK" w:eastAsia="方正仿宋_GBK"/>
          <w:sz w:val="32"/>
          <w:szCs w:val="32"/>
        </w:rPr>
      </w:pPr>
      <w:r>
        <w:rPr>
          <w:rFonts w:ascii="方正仿宋_GBK" w:eastAsia="方正仿宋_GBK"/>
          <w:b/>
          <w:sz w:val="32"/>
          <w:szCs w:val="32"/>
        </w:rPr>
        <w:t>3.支出情况。</w:t>
      </w:r>
      <w:r>
        <w:rPr>
          <w:rFonts w:ascii="方正仿宋_GBK" w:eastAsia="方正仿宋_GBK"/>
          <w:sz w:val="32"/>
          <w:szCs w:val="32"/>
        </w:rPr>
        <w:t>2024年度支出合计293.26万元，与2023年度相比，减少8.72万元，下降2.89%，主要原因是2023年清算补发以前年度超额绩效和健康休养费且本年教师人数减少致人员经费减少，幼儿人数减少致公用经费、事业收入减少。其中：基本支出254.75万元，占86.87%；项目支出38.51万元，占13.13%；经营支出0.00万元，占0.00%。此外，结余分配9.79万元。</w:t>
      </w:r>
    </w:p>
    <w:p>
      <w:pPr>
        <w:ind w:firstLine="643" w:firstLineChars="200"/>
        <w:rPr>
          <w:rFonts w:ascii="方正仿宋_GBK" w:eastAsia="方正仿宋_GBK"/>
          <w:sz w:val="32"/>
          <w:szCs w:val="32"/>
        </w:rPr>
      </w:pPr>
      <w:r>
        <w:rPr>
          <w:rFonts w:ascii="方正仿宋_GBK" w:eastAsia="方正仿宋_GBK"/>
          <w:b/>
          <w:sz w:val="32"/>
          <w:szCs w:val="32"/>
        </w:rPr>
        <w:t>4.结转结余情况。</w:t>
      </w:r>
      <w:r>
        <w:rPr>
          <w:rFonts w:ascii="方正仿宋_GBK" w:eastAsia="方正仿宋_GBK"/>
          <w:sz w:val="32"/>
          <w:szCs w:val="32"/>
        </w:rPr>
        <w:t>2024年度年末结转和结余0.00万元，与2023年度相比，无增减，主要原因是2023年和2024年均无年末结转和结余。</w:t>
      </w:r>
    </w:p>
    <w:p>
      <w:pPr>
        <w:ind w:firstLine="643" w:firstLineChars="200"/>
        <w:rPr>
          <w:rFonts w:ascii="方正楷体_GBK" w:eastAsia="方正楷体_GBK"/>
          <w:b/>
          <w:sz w:val="32"/>
          <w:szCs w:val="32"/>
        </w:rPr>
      </w:pPr>
      <w:r>
        <w:rPr>
          <w:rFonts w:ascii="方正楷体_GBK" w:eastAsia="方正楷体_GBK"/>
          <w:b/>
          <w:sz w:val="32"/>
          <w:szCs w:val="32"/>
        </w:rPr>
        <w:t>（二）财政拨款收入支出决算总体情况说明</w:t>
      </w:r>
    </w:p>
    <w:p>
      <w:pPr>
        <w:ind w:firstLine="640" w:firstLineChars="200"/>
        <w:rPr>
          <w:rFonts w:ascii="方正仿宋_GBK" w:eastAsia="方正仿宋_GBK"/>
          <w:sz w:val="32"/>
          <w:szCs w:val="32"/>
        </w:rPr>
      </w:pPr>
      <w:r>
        <w:rPr>
          <w:rFonts w:ascii="方正仿宋_GBK" w:eastAsia="方正仿宋_GBK"/>
          <w:sz w:val="32"/>
          <w:szCs w:val="32"/>
        </w:rPr>
        <w:t>2024年度财政拨款收、支总计232.43万元。与2023年相比，财政拨款收、支总计各减少5.02万元，下降2.11%。主要原因是2023年清算补发以前年度超额绩效和健康休养费且本年教师人数减少致人员经费减少，幼儿人数减少致公用经费减少。</w:t>
      </w:r>
    </w:p>
    <w:p>
      <w:pPr>
        <w:ind w:firstLine="643" w:firstLineChars="200"/>
        <w:rPr>
          <w:rFonts w:ascii="方正楷体_GBK" w:eastAsia="方正楷体_GBK"/>
          <w:b/>
          <w:sz w:val="32"/>
          <w:szCs w:val="32"/>
        </w:rPr>
      </w:pPr>
      <w:r>
        <w:rPr>
          <w:rFonts w:ascii="方正楷体_GBK" w:eastAsia="方正楷体_GBK"/>
          <w:b/>
          <w:sz w:val="32"/>
          <w:szCs w:val="32"/>
        </w:rPr>
        <w:t>（三）一般公共预算财政拨款收入支出决算情况说明</w:t>
      </w:r>
    </w:p>
    <w:p>
      <w:pPr>
        <w:ind w:firstLine="643" w:firstLineChars="200"/>
        <w:rPr>
          <w:rFonts w:ascii="方正仿宋_GBK" w:eastAsia="方正仿宋_GBK"/>
          <w:sz w:val="32"/>
          <w:szCs w:val="32"/>
        </w:rPr>
      </w:pPr>
      <w:r>
        <w:rPr>
          <w:rFonts w:ascii="方正仿宋_GBK" w:eastAsia="方正仿宋_GBK"/>
          <w:b/>
          <w:sz w:val="32"/>
          <w:szCs w:val="32"/>
        </w:rPr>
        <w:t>1.收入情况。</w:t>
      </w:r>
      <w:r>
        <w:rPr>
          <w:rFonts w:ascii="方正仿宋_GBK" w:eastAsia="方正仿宋_GBK"/>
          <w:sz w:val="32"/>
          <w:szCs w:val="32"/>
        </w:rPr>
        <w:t>2024年度一般公共预算财政拨款收入232.43万元，与2023年度相比，减少5.02万元，下降2.11%。主要原因是2023年清算补发以前年度超额绩效和健康休养费且本年教师人数减少致人员经费减少，幼儿人数减少致公用经费减少。较年初预算数增加34.33万元，增长17.33%。主要原因是本年预算执行中教职工正常晋升、晋岗晋级及将超额绩效纳入养老保险和职业年金基数等人员经费类基本支出增加。此外，年初财政拨款结转和结余0.00万元。</w:t>
      </w:r>
    </w:p>
    <w:p>
      <w:pPr>
        <w:ind w:firstLine="643" w:firstLineChars="200"/>
        <w:rPr>
          <w:rFonts w:ascii="方正仿宋_GBK" w:eastAsia="方正仿宋_GBK"/>
          <w:sz w:val="32"/>
          <w:szCs w:val="32"/>
        </w:rPr>
      </w:pPr>
      <w:r>
        <w:rPr>
          <w:rFonts w:ascii="方正仿宋_GBK" w:eastAsia="方正仿宋_GBK"/>
          <w:b/>
          <w:sz w:val="32"/>
          <w:szCs w:val="32"/>
        </w:rPr>
        <w:t>2.支出情况。</w:t>
      </w:r>
      <w:r>
        <w:rPr>
          <w:rFonts w:ascii="方正仿宋_GBK" w:eastAsia="方正仿宋_GBK"/>
          <w:sz w:val="32"/>
          <w:szCs w:val="32"/>
        </w:rPr>
        <w:t>2024年度一般公共预算财政拨款支出232.43万元，与2023年度相比，减少5.02万元，下降2.11%。主要原因是2023年清算补发以前年度超额绩效和健康休养费且本年教师人数减少致人员经费减少，幼儿人数减少致公用经费减少。较年初预算数增加34.33万元，增长17.33%。主要原因是本年预算执行中教职工正常晋升、晋岗晋级及将超额绩效纳入养老保险和职业年金基数等人员经费类基本支出增加。</w:t>
      </w:r>
    </w:p>
    <w:p>
      <w:pPr>
        <w:ind w:firstLine="643" w:firstLineChars="200"/>
        <w:rPr>
          <w:rFonts w:ascii="方正仿宋_GBK" w:eastAsia="方正仿宋_GBK"/>
          <w:sz w:val="32"/>
          <w:szCs w:val="32"/>
        </w:rPr>
      </w:pPr>
      <w:r>
        <w:rPr>
          <w:rFonts w:ascii="方正仿宋_GBK" w:eastAsia="方正仿宋_GBK"/>
          <w:b/>
          <w:sz w:val="32"/>
          <w:szCs w:val="32"/>
        </w:rPr>
        <w:t>3.结转结余情况。</w:t>
      </w:r>
      <w:r>
        <w:rPr>
          <w:rFonts w:ascii="方正仿宋_GBK" w:eastAsia="方正仿宋_GBK"/>
          <w:sz w:val="32"/>
          <w:szCs w:val="32"/>
        </w:rPr>
        <w:t>2024年度年末一般公共预算财政拨款结转和结余0.00万元，与2023年度相比，无增减，主要原因是本单位本年末无一般公共预算财政拨款结转和结余。</w:t>
      </w:r>
    </w:p>
    <w:p>
      <w:pPr>
        <w:ind w:firstLine="643" w:firstLineChars="200"/>
        <w:rPr>
          <w:rFonts w:ascii="方正仿宋_GBK" w:eastAsia="方正仿宋_GBK"/>
          <w:sz w:val="32"/>
          <w:szCs w:val="32"/>
          <w:highlight w:val="cyan"/>
        </w:rPr>
      </w:pPr>
      <w:r>
        <w:rPr>
          <w:rFonts w:ascii="方正仿宋_GBK" w:eastAsia="方正仿宋_GBK"/>
          <w:b/>
          <w:sz w:val="32"/>
          <w:szCs w:val="32"/>
        </w:rPr>
        <w:t xml:space="preserve"> 4.比较情况。</w:t>
      </w:r>
      <w:r>
        <w:rPr>
          <w:rFonts w:ascii="方正仿宋_GBK" w:eastAsia="方正仿宋_GBK"/>
          <w:sz w:val="32"/>
          <w:szCs w:val="32"/>
        </w:rPr>
        <w:t>本单位2024年度一般公共预算财政拨款支出主要用于以下几个方面：</w:t>
      </w:r>
    </w:p>
    <w:p>
      <w:pPr>
        <w:ind w:firstLine="640" w:firstLineChars="200"/>
        <w:rPr>
          <w:rFonts w:ascii="方正仿宋_GBK" w:eastAsia="方正仿宋_GBK"/>
          <w:sz w:val="32"/>
          <w:szCs w:val="32"/>
        </w:rPr>
      </w:pPr>
      <w:r>
        <w:rPr>
          <w:rFonts w:ascii="方正仿宋_GBK" w:eastAsia="方正仿宋_GBK"/>
          <w:sz w:val="32"/>
          <w:szCs w:val="32"/>
        </w:rPr>
        <w:t>（1）教育支出178.73万元，占76.90%，较年初预算数增加21.71万元，增长13.83%，主要原因是2023年清算补发以前年度超额绩效和健康休养费且本年因教师人数减少致人员经费减少，幼儿人数减少致公用经费减少。</w:t>
      </w:r>
    </w:p>
    <w:p>
      <w:pPr>
        <w:ind w:firstLine="640" w:firstLineChars="200"/>
        <w:rPr>
          <w:rFonts w:ascii="方正仿宋_GBK" w:eastAsia="方正仿宋_GBK"/>
          <w:sz w:val="32"/>
          <w:szCs w:val="32"/>
        </w:rPr>
      </w:pPr>
      <w:r>
        <w:rPr>
          <w:rFonts w:ascii="方正仿宋_GBK" w:eastAsia="方正仿宋_GBK"/>
          <w:sz w:val="32"/>
          <w:szCs w:val="32"/>
        </w:rPr>
        <w:t>（2）社会保障与就业支出34.39万元，占14.80%，较年初预算数增加11.59万元，增长50.83%，主要原因是本年度预算执行中将超额绩效纳入养老保险和职业年金基数致社会保障与就业支出增加调整年初预算。</w:t>
      </w:r>
    </w:p>
    <w:p>
      <w:pPr>
        <w:ind w:firstLine="640" w:firstLineChars="200"/>
        <w:rPr>
          <w:rFonts w:ascii="方正仿宋_GBK" w:eastAsia="方正仿宋_GBK"/>
          <w:sz w:val="32"/>
          <w:szCs w:val="32"/>
        </w:rPr>
      </w:pPr>
      <w:r>
        <w:rPr>
          <w:rFonts w:ascii="方正仿宋_GBK" w:eastAsia="方正仿宋_GBK"/>
          <w:sz w:val="32"/>
          <w:szCs w:val="32"/>
        </w:rPr>
        <w:t>（3）卫生健康支出8.99万元，占3.87%，较年初预算数增加0.68万元，增长8.18%，主要原因是本年度预算执行中教职工增加致医疗保险支出增加调整年初预算。</w:t>
      </w:r>
    </w:p>
    <w:p>
      <w:pPr>
        <w:ind w:firstLine="640" w:firstLineChars="200"/>
        <w:rPr>
          <w:rFonts w:ascii="方正仿宋_GBK" w:eastAsia="方正仿宋_GBK"/>
          <w:sz w:val="32"/>
          <w:szCs w:val="32"/>
        </w:rPr>
      </w:pPr>
      <w:r>
        <w:rPr>
          <w:rFonts w:ascii="方正仿宋_GBK" w:eastAsia="方正仿宋_GBK"/>
          <w:sz w:val="32"/>
          <w:szCs w:val="32"/>
        </w:rPr>
        <w:t>（4）住房保障支出10.32万元，占4.44%，较年初预算数增加0.35万元，增长3.51%，主要原因是本年度预算执行中教职工增加致住房保障支出增加调整年初预算。</w:t>
      </w:r>
    </w:p>
    <w:p>
      <w:pPr>
        <w:ind w:firstLine="643" w:firstLineChars="200"/>
        <w:rPr>
          <w:rFonts w:ascii="方正楷体_GBK" w:eastAsia="方正楷体_GBK"/>
          <w:b/>
          <w:sz w:val="32"/>
          <w:szCs w:val="32"/>
        </w:rPr>
      </w:pPr>
      <w:r>
        <w:rPr>
          <w:rFonts w:ascii="方正楷体_GBK" w:eastAsia="方正楷体_GBK"/>
          <w:b/>
          <w:sz w:val="32"/>
          <w:szCs w:val="32"/>
        </w:rPr>
        <w:t>（四）一般公共预算财政拨款基本支出决算情况说明</w:t>
      </w:r>
    </w:p>
    <w:p>
      <w:pPr>
        <w:ind w:firstLine="640" w:firstLineChars="200"/>
        <w:rPr>
          <w:rFonts w:ascii="方正仿宋_GBK" w:eastAsia="方正仿宋_GBK"/>
          <w:sz w:val="32"/>
          <w:szCs w:val="32"/>
        </w:rPr>
      </w:pPr>
      <w:r>
        <w:rPr>
          <w:rFonts w:ascii="方正仿宋_GBK" w:eastAsia="方正仿宋_GBK"/>
          <w:sz w:val="32"/>
          <w:szCs w:val="32"/>
        </w:rPr>
        <w:t>2024年度一般公共</w:t>
      </w:r>
      <w:r>
        <w:rPr>
          <w:rFonts w:hint="eastAsia" w:ascii="方正仿宋_GBK" w:eastAsia="方正仿宋_GBK"/>
          <w:sz w:val="32"/>
          <w:szCs w:val="32"/>
          <w:lang w:val="en-US" w:eastAsia="zh-CN"/>
        </w:rPr>
        <w:t>预算</w:t>
      </w:r>
      <w:r>
        <w:rPr>
          <w:rFonts w:ascii="方正仿宋_GBK" w:eastAsia="方正仿宋_GBK"/>
          <w:sz w:val="32"/>
          <w:szCs w:val="32"/>
        </w:rPr>
        <w:t>财政拨款基本支出201.81万元。其中：人员经费199.26万元，与2023年度相比，增加6.97万元，增长3.62%，主要原因是2023年清算补发以前年度超额绩效和健康休养费且本年因教师人数减少致人员经费减少。人员经费用途主要包括教师统发工资、绩效工资、社会保障和就业支出、医疗卫生支出和住房保障支出。公用经费2.55万元，与2023年度相比，增加0.24万元，增长10.39%，主要原因是本年因幼儿人数减少致公用经费下降。公用经费用途主要包括学校正常运行的培训费、工会经费及福利费等支出。</w:t>
      </w:r>
    </w:p>
    <w:p>
      <w:pPr>
        <w:ind w:firstLine="643" w:firstLineChars="200"/>
        <w:rPr>
          <w:rFonts w:ascii="方正楷体_GBK" w:eastAsia="方正楷体_GBK"/>
          <w:b/>
          <w:sz w:val="32"/>
          <w:szCs w:val="32"/>
        </w:rPr>
      </w:pPr>
      <w:r>
        <w:rPr>
          <w:rFonts w:ascii="方正楷体_GBK" w:eastAsia="方正楷体_GBK"/>
          <w:b/>
          <w:sz w:val="32"/>
          <w:szCs w:val="32"/>
        </w:rPr>
        <w:t>（五）政府性基金预算收支决算情况说明</w:t>
      </w:r>
    </w:p>
    <w:p>
      <w:pPr>
        <w:ind w:firstLine="640" w:firstLineChars="200"/>
        <w:rPr>
          <w:rFonts w:ascii="方正仿宋_GBK" w:eastAsia="方正仿宋_GBK"/>
          <w:sz w:val="32"/>
          <w:szCs w:val="32"/>
        </w:rPr>
      </w:pPr>
      <w:r>
        <w:rPr>
          <w:rFonts w:hint="eastAsia" w:ascii="方正仿宋_GBK" w:eastAsia="方正仿宋_GBK"/>
          <w:sz w:val="32"/>
          <w:szCs w:val="32"/>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ind w:firstLine="643" w:firstLineChars="200"/>
        <w:rPr>
          <w:rFonts w:ascii="方正楷体_GBK" w:eastAsia="方正楷体_GBK"/>
          <w:b/>
          <w:sz w:val="32"/>
          <w:szCs w:val="32"/>
        </w:rPr>
      </w:pPr>
      <w:r>
        <w:rPr>
          <w:rFonts w:ascii="方正楷体_GBK" w:eastAsia="方正楷体_GBK"/>
          <w:b/>
          <w:sz w:val="32"/>
          <w:szCs w:val="32"/>
        </w:rPr>
        <w:t>（六）国有资本经营预算财政拨款支出决算情况说明</w:t>
      </w:r>
    </w:p>
    <w:p>
      <w:pPr>
        <w:ind w:firstLine="640" w:firstLineChars="200"/>
        <w:rPr>
          <w:rFonts w:ascii="方正仿宋_GBK" w:eastAsia="方正仿宋_GBK"/>
          <w:sz w:val="32"/>
          <w:szCs w:val="32"/>
        </w:rPr>
      </w:pPr>
      <w:r>
        <w:rPr>
          <w:rFonts w:ascii="方正仿宋_GBK" w:eastAsia="方正仿宋_GBK"/>
          <w:sz w:val="32"/>
          <w:szCs w:val="32"/>
        </w:rPr>
        <w:t>2024年度国有资本经营预算财政拨</w:t>
      </w:r>
      <w:r>
        <w:rPr>
          <w:rFonts w:hint="eastAsia" w:ascii="方正仿宋_GBK" w:eastAsia="方正仿宋_GBK"/>
          <w:sz w:val="32"/>
          <w:szCs w:val="32"/>
          <w:lang w:val="en-US" w:eastAsia="zh-CN"/>
        </w:rPr>
        <w:t>款</w:t>
      </w:r>
      <w:r>
        <w:rPr>
          <w:rFonts w:ascii="方正仿宋_GBK" w:eastAsia="方正仿宋_GBK"/>
          <w:sz w:val="32"/>
          <w:szCs w:val="32"/>
        </w:rPr>
        <w:t>本年支出0.00万元，基本支出0.00万元，项目支出0.00万元。本单位2024年度无国有资本经营预算财政拨款支出。</w:t>
      </w:r>
    </w:p>
    <w:p>
      <w:pPr>
        <w:pStyle w:val="6"/>
        <w:shd w:val="clear" w:color="auto" w:fill="FFFFFF"/>
        <w:spacing w:before="0" w:beforeAutospacing="0" w:after="0" w:afterAutospacing="0"/>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三、财政拨款“三公”经费情况说明</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pacing w:before="0" w:beforeAutospacing="0" w:after="0" w:afterAutospacing="0"/>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pacing w:before="0" w:beforeAutospacing="0" w:after="0" w:afterAutospacing="0"/>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pacing w:before="0" w:beforeAutospacing="0" w:after="0" w:afterAutospacing="0"/>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bookmarkStart w:id="0" w:name="_GoBack"/>
      <w:bookmarkEnd w:id="0"/>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pacing w:before="0" w:beforeAutospacing="0" w:after="0" w:afterAutospacing="0"/>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ind w:firstLine="640" w:firstLineChars="200"/>
        <w:rPr>
          <w:rFonts w:ascii="方正仿宋_GBK" w:eastAsia="方正仿宋_GBK"/>
          <w:sz w:val="32"/>
          <w:szCs w:val="32"/>
        </w:rPr>
      </w:pPr>
      <w:r>
        <w:rPr>
          <w:rFonts w:ascii="方正仿宋_GBK" w:eastAsia="方正仿宋_GBK"/>
          <w:sz w:val="32"/>
          <w:szCs w:val="32"/>
        </w:rPr>
        <w:t>本年度会议费支出0.00万元，与2023年度相比，无增减，主要原因是上年和本年均未发生会议费支出。本年度培训费支出0.35万元，与2023年度相比，减少0.25万元，下降41.67%，主要原因是本年度学校压减培训等公用经费支出。</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（二）机关运行经费情况说明</w:t>
      </w:r>
    </w:p>
    <w:p>
      <w:pPr>
        <w:pStyle w:val="6"/>
        <w:spacing w:before="0" w:beforeAutospacing="0" w:after="0" w:afterAutospacing="0"/>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spacing w:before="0" w:beforeAutospacing="0" w:after="0" w:afterAutospacing="0"/>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pStyle w:val="6"/>
        <w:shd w:val="clear" w:color="auto" w:fill="FFFFFF"/>
        <w:spacing w:before="0" w:beforeAutospacing="0" w:after="0" w:afterAutospacing="0"/>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五、2024年度预算绩效管理情况说明</w:t>
      </w:r>
    </w:p>
    <w:p>
      <w:pPr>
        <w:pStyle w:val="11"/>
        <w:autoSpaceDE w:val="0"/>
        <w:ind w:firstLine="643"/>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autoSpaceDE w:val="0"/>
        <w:spacing w:before="0" w:beforeAutospacing="0" w:after="0" w:afterAutospacing="0"/>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根据预算绩效管理要求，我单位对6个二级项目开展了绩效自评，涉及财政拨款项目支出资金30.62万元。</w:t>
      </w:r>
    </w:p>
    <w:p>
      <w:pPr>
        <w:rPr>
          <w:rFonts w:hint="default"/>
        </w:rPr>
      </w:pPr>
      <w:r>
        <w:drawing>
          <wp:inline distT="0" distB="0" distL="114300" distR="114300">
            <wp:extent cx="5302250" cy="4864735"/>
            <wp:effectExtent l="0" t="0" r="3175"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302250" cy="4864735"/>
                    </a:xfrm>
                    <a:prstGeom prst="rect">
                      <a:avLst/>
                    </a:prstGeom>
                    <a:noFill/>
                    <a:ln>
                      <a:noFill/>
                    </a:ln>
                  </pic:spPr>
                </pic:pic>
              </a:graphicData>
            </a:graphic>
          </wp:inline>
        </w:drawing>
      </w:r>
      <w:r>
        <w:drawing>
          <wp:inline distT="0" distB="0" distL="114300" distR="114300">
            <wp:extent cx="5360035" cy="4946015"/>
            <wp:effectExtent l="0" t="0" r="254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60035" cy="4946015"/>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shd w:val="clear" w:color="auto" w:fill="FFFFFF"/>
        <w:spacing w:before="0" w:beforeAutospacing="0" w:after="0" w:afterAutospacing="0"/>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六、专业名词解释</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ind w:firstLine="643"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ind w:firstLine="64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rPr>
        <w:t xml:space="preserve">曾老师   </w:t>
      </w:r>
      <w:r>
        <w:rPr>
          <w:rFonts w:ascii="方正仿宋_GBK" w:hAnsi="方正仿宋_GBK" w:eastAsia="方正仿宋_GBK" w:cs="方正仿宋_GBK"/>
          <w:sz w:val="32"/>
        </w:rPr>
        <w:t>023-81863377</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垫江县周嘉镇中心幼儿园</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295.35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303.05</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303.05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垫江县周嘉镇中心幼儿园</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295.35</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232.43</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52.78</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52.78</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178.73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52.78</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52.78</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241.30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178.38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52.78</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52.78</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178.38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52.78</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52.78</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垫江县周嘉镇中心幼儿园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293.26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254.75</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38.51</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239.56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201.06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200.71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239.21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200.71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垫江县周嘉镇中心幼儿园</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垫江县周嘉镇中心幼儿园</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232.43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201.81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178.73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148.12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178.38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147.77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垫江县周嘉镇中心幼儿园</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199.26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垫江县周嘉镇中心幼儿园</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垫江县周嘉镇中心幼儿园</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垫江县周嘉镇中心幼儿园</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5FD"/>
    <w:rsid w:val="00466C9B"/>
    <w:rsid w:val="00550ABE"/>
    <w:rsid w:val="00770383"/>
    <w:rsid w:val="007819D4"/>
    <w:rsid w:val="007B419D"/>
    <w:rsid w:val="007B7C4B"/>
    <w:rsid w:val="007D3D39"/>
    <w:rsid w:val="0093450F"/>
    <w:rsid w:val="00994AF7"/>
    <w:rsid w:val="009B67B8"/>
    <w:rsid w:val="009D2B67"/>
    <w:rsid w:val="00A566F9"/>
    <w:rsid w:val="00AF05B6"/>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44003E1"/>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525355"/>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0CD6B56"/>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4F664596"/>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CF72989"/>
    <w:rsid w:val="5D290C69"/>
    <w:rsid w:val="5F2D4A41"/>
    <w:rsid w:val="60C74F6C"/>
    <w:rsid w:val="61025A59"/>
    <w:rsid w:val="613D5BBC"/>
    <w:rsid w:val="61536C39"/>
    <w:rsid w:val="62944DD7"/>
    <w:rsid w:val="6319381F"/>
    <w:rsid w:val="63200A45"/>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F92DA1"/>
    <w:rsid w:val="750837F0"/>
    <w:rsid w:val="754758CF"/>
    <w:rsid w:val="764F62AB"/>
    <w:rsid w:val="765C45EC"/>
    <w:rsid w:val="768A7619"/>
    <w:rsid w:val="772E1EBA"/>
    <w:rsid w:val="781926BC"/>
    <w:rsid w:val="796D60A4"/>
    <w:rsid w:val="79A031D5"/>
    <w:rsid w:val="7A1525F7"/>
    <w:rsid w:val="7A56022A"/>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 w:type="paragraph" w:customStyle="1" w:styleId="17">
    <w:name w:val="msolist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7708</Words>
  <Characters>9965</Characters>
  <Lines>97</Lines>
  <Paragraphs>27</Paragraphs>
  <TotalTime>18</TotalTime>
  <ScaleCrop>false</ScaleCrop>
  <LinksUpToDate>false</LinksUpToDate>
  <CharactersWithSpaces>10728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2025-09-22T09:05:39Z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