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垫江县永平小学校</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spacing w:line="600" w:lineRule="exact"/>
        <w:ind w:firstLine="640" w:firstLineChars="200"/>
        <w:rPr>
          <w:rFonts w:ascii="Times New Roman" w:hAnsi="Times New Roman" w:eastAsia="方正黑体_GBK"/>
          <w:sz w:val="32"/>
        </w:rPr>
      </w:pPr>
    </w:p>
    <w:p>
      <w:pPr>
        <w:spacing w:line="600" w:lineRule="exact"/>
        <w:ind w:firstLine="640" w:firstLineChars="200"/>
        <w:rPr>
          <w:rFonts w:hint="default" w:ascii="Times New Roman" w:hAnsi="Times New Roman" w:eastAsia="方正黑体_GBK"/>
          <w:sz w:val="32"/>
        </w:rPr>
      </w:pPr>
      <w:r>
        <w:rPr>
          <w:rFonts w:ascii="Times New Roman" w:hAnsi="Times New Roman" w:eastAsia="方正黑体_GBK"/>
          <w:sz w:val="32"/>
        </w:rPr>
        <w:t>一、单位基本情况</w:t>
      </w:r>
    </w:p>
    <w:p>
      <w:pPr>
        <w:widowControl w:val="0"/>
        <w:spacing w:line="600" w:lineRule="exact"/>
        <w:ind w:firstLine="643" w:firstLineChars="200"/>
        <w:jc w:val="both"/>
        <w:rPr>
          <w:rFonts w:hint="default" w:ascii="Calibri" w:hAnsi="Calibri" w:eastAsia="方正楷体_GBK"/>
          <w:b/>
          <w:kern w:val="2"/>
          <w:sz w:val="32"/>
          <w:szCs w:val="22"/>
        </w:rPr>
      </w:pPr>
      <w:r>
        <w:rPr>
          <w:rFonts w:ascii="Calibri" w:hAnsi="Calibri" w:eastAsia="方正楷体_GBK"/>
          <w:b/>
          <w:kern w:val="2"/>
          <w:sz w:val="32"/>
          <w:szCs w:val="22"/>
        </w:rPr>
        <w:t>（一）职能职责</w:t>
      </w:r>
    </w:p>
    <w:p>
      <w:pPr>
        <w:widowControl w:val="0"/>
        <w:spacing w:line="600" w:lineRule="exact"/>
        <w:ind w:firstLine="640" w:firstLineChars="200"/>
        <w:jc w:val="both"/>
        <w:rPr>
          <w:rFonts w:hint="default" w:ascii="Calibri" w:hAnsi="Calibri" w:eastAsia="方正仿宋_GBK"/>
          <w:kern w:val="2"/>
          <w:sz w:val="32"/>
          <w:szCs w:val="22"/>
        </w:rPr>
      </w:pPr>
      <w:r>
        <w:rPr>
          <w:rFonts w:ascii="Calibri" w:hAnsi="Calibri" w:eastAsia="方正仿宋_GBK"/>
          <w:kern w:val="2"/>
          <w:sz w:val="32"/>
          <w:szCs w:val="22"/>
        </w:rPr>
        <w:t>1．负责辖区适龄儿童、青少年义务教育工作；负责辖区学前儿童教育与保育工作。</w:t>
      </w:r>
    </w:p>
    <w:p>
      <w:pPr>
        <w:widowControl w:val="0"/>
        <w:tabs>
          <w:tab w:val="center" w:pos="4153"/>
          <w:tab w:val="left" w:pos="7275"/>
        </w:tabs>
        <w:spacing w:line="600" w:lineRule="exact"/>
        <w:ind w:firstLine="640" w:firstLineChars="200"/>
        <w:jc w:val="both"/>
        <w:rPr>
          <w:rFonts w:hint="default" w:ascii="Times New Roman" w:hAnsi="Times New Roman" w:eastAsia="方正仿宋_GBK"/>
          <w:kern w:val="2"/>
          <w:sz w:val="32"/>
          <w:szCs w:val="22"/>
        </w:rPr>
      </w:pPr>
      <w:r>
        <w:rPr>
          <w:rFonts w:ascii="Calibri" w:hAnsi="Calibri" w:eastAsia="方正仿宋_GBK"/>
          <w:kern w:val="2"/>
          <w:sz w:val="32"/>
          <w:szCs w:val="22"/>
        </w:rPr>
        <w:t>2．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 </w:t>
      </w:r>
      <w:r>
        <w:rPr>
          <w:rFonts w:ascii="Times New Roman" w:hAnsi="Times New Roman" w:eastAsia="方正仿宋_GBK"/>
          <w:kern w:val="2"/>
          <w:sz w:val="32"/>
          <w:szCs w:val="22"/>
        </w:rPr>
        <w:t>。</w:t>
      </w:r>
    </w:p>
    <w:p>
      <w:pPr>
        <w:spacing w:line="600" w:lineRule="exact"/>
        <w:ind w:firstLine="643" w:firstLineChars="200"/>
        <w:rPr>
          <w:rFonts w:hint="default" w:ascii="Times New Roman" w:hAnsi="Times New Roman" w:eastAsia="方正仿宋_GBK"/>
          <w:sz w:val="32"/>
        </w:rPr>
      </w:pPr>
      <w:r>
        <w:rPr>
          <w:rFonts w:ascii="方正楷体_GBK" w:eastAsia="方正楷体_GBK"/>
          <w:b/>
          <w:sz w:val="32"/>
          <w:szCs w:val="32"/>
        </w:rPr>
        <w:t>（二）机构设置</w:t>
      </w:r>
    </w:p>
    <w:p>
      <w:pPr>
        <w:pStyle w:val="6"/>
        <w:shd w:val="clear" w:color="auto" w:fill="FFFFFF"/>
        <w:spacing w:before="0" w:beforeAutospacing="0" w:after="0" w:afterAutospacing="0" w:line="600" w:lineRule="exact"/>
        <w:ind w:firstLine="640" w:firstLineChars="200"/>
        <w:rPr>
          <w:rFonts w:ascii="方正仿宋_GBK" w:eastAsia="方正仿宋_GBK"/>
          <w:sz w:val="32"/>
          <w:szCs w:val="32"/>
        </w:rPr>
      </w:pPr>
      <w:r>
        <w:rPr>
          <w:rFonts w:ascii="Times New Roman" w:hAnsi="Times New Roman" w:eastAsia="方正仿宋_GBK"/>
          <w:kern w:val="2"/>
          <w:sz w:val="32"/>
          <w:szCs w:val="22"/>
        </w:rPr>
        <w:t>本单位内设德育处、教务处、教科处、后勤处</w:t>
      </w:r>
      <w:r>
        <w:rPr>
          <w:rFonts w:ascii="方正仿宋_GBK" w:eastAsia="方正仿宋_GBK"/>
          <w:sz w:val="32"/>
          <w:szCs w:val="32"/>
        </w:rPr>
        <w:t>。</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二、单位决算收支情况说明</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spacing w:line="600" w:lineRule="exact"/>
        <w:ind w:firstLine="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2024年度收入总计1316.12万元，支出总计</w:t>
      </w:r>
      <w:r>
        <w:rPr>
          <w:rFonts w:ascii="方正仿宋_GBK" w:hAnsi="方正仿宋_GBK" w:eastAsia="方正仿宋_GBK" w:cs="方正仿宋_GBK"/>
          <w:sz w:val="32"/>
          <w:szCs w:val="32"/>
        </w:rPr>
        <w:t>1316.12</w:t>
      </w:r>
      <w:r>
        <w:rPr>
          <w:rFonts w:ascii="方正仿宋_GBK" w:hAnsi="方正仿宋_GBK" w:eastAsia="方正仿宋_GBK" w:cs="方正仿宋_GBK"/>
          <w:sz w:val="32"/>
          <w:szCs w:val="32"/>
          <w:shd w:val="clear" w:color="auto" w:fill="FFFFFF"/>
        </w:rPr>
        <w:t>万元。收、支与2023年度相比，减少380.76万元，下降22.44%，主要原因是2023年清算补发以前年度超额绩效、健康休养费。</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2024年度收入合计1305.47万元，与2023年度相比，减少372.10万元，下降22.18%，主要原因是2023年清算补发以前年度超额绩效、健康休养费。其中：财政拨款收入</w:t>
      </w:r>
      <w:r>
        <w:rPr>
          <w:rFonts w:ascii="方正仿宋_GBK" w:hAnsi="方正仿宋_GBK" w:eastAsia="方正仿宋_GBK" w:cs="方正仿宋_GBK"/>
          <w:sz w:val="32"/>
          <w:szCs w:val="32"/>
        </w:rPr>
        <w:t>1235.65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94.65</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27.39</w:t>
      </w:r>
      <w:r>
        <w:rPr>
          <w:rFonts w:ascii="方正仿宋_GBK" w:hAnsi="方正仿宋_GBK" w:eastAsia="方正仿宋_GBK" w:cs="方正仿宋_GBK"/>
          <w:sz w:val="32"/>
          <w:szCs w:val="32"/>
          <w:shd w:val="clear" w:color="auto" w:fill="FFFFFF"/>
        </w:rPr>
        <w:t>万元，占2.10%；经营收入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42.43</w:t>
      </w:r>
      <w:r>
        <w:rPr>
          <w:rFonts w:ascii="方正仿宋_GBK" w:hAnsi="方正仿宋_GBK" w:eastAsia="方正仿宋_GBK" w:cs="方正仿宋_GBK"/>
          <w:sz w:val="32"/>
          <w:szCs w:val="32"/>
          <w:shd w:val="clear" w:color="auto" w:fill="FFFFFF"/>
        </w:rPr>
        <w:t>万元，占3.25%。此外，使用非财政拨款结余和专用结余</w:t>
      </w:r>
      <w:r>
        <w:rPr>
          <w:rFonts w:ascii="方正仿宋_GBK" w:hAnsi="方正仿宋_GBK" w:eastAsia="方正仿宋_GBK" w:cs="方正仿宋_GBK"/>
          <w:sz w:val="32"/>
          <w:szCs w:val="32"/>
        </w:rPr>
        <w:t>10.65</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1306.66</w:t>
      </w:r>
      <w:r>
        <w:rPr>
          <w:rFonts w:ascii="方正仿宋_GBK" w:hAnsi="方正仿宋_GBK" w:eastAsia="方正仿宋_GBK" w:cs="方正仿宋_GBK"/>
          <w:sz w:val="32"/>
          <w:szCs w:val="32"/>
          <w:shd w:val="clear" w:color="auto" w:fill="FFFFFF"/>
        </w:rPr>
        <w:t>万元，与2023年度相比，减少384.56万元，下降22.74%，主要原因是2023年清算补发以前年度超额绩效、健康休养费。其中：基本支出</w:t>
      </w:r>
      <w:r>
        <w:rPr>
          <w:rFonts w:ascii="方正仿宋_GBK" w:hAnsi="方正仿宋_GBK" w:eastAsia="方正仿宋_GBK" w:cs="方正仿宋_GBK"/>
          <w:sz w:val="32"/>
          <w:szCs w:val="32"/>
        </w:rPr>
        <w:t>1196.40</w:t>
      </w:r>
      <w:r>
        <w:rPr>
          <w:rFonts w:ascii="方正仿宋_GBK" w:hAnsi="方正仿宋_GBK" w:eastAsia="方正仿宋_GBK" w:cs="方正仿宋_GBK"/>
          <w:sz w:val="32"/>
          <w:szCs w:val="32"/>
          <w:shd w:val="clear" w:color="auto" w:fill="FFFFFF"/>
        </w:rPr>
        <w:t>万元，占91.56%；项目支出</w:t>
      </w:r>
      <w:r>
        <w:rPr>
          <w:rFonts w:ascii="方正仿宋_GBK" w:hAnsi="方正仿宋_GBK" w:eastAsia="方正仿宋_GBK" w:cs="方正仿宋_GBK"/>
          <w:sz w:val="32"/>
          <w:szCs w:val="32"/>
        </w:rPr>
        <w:t>110.26</w:t>
      </w:r>
      <w:r>
        <w:rPr>
          <w:rFonts w:ascii="方正仿宋_GBK" w:hAnsi="方正仿宋_GBK" w:eastAsia="方正仿宋_GBK" w:cs="方正仿宋_GBK"/>
          <w:sz w:val="32"/>
          <w:szCs w:val="32"/>
          <w:shd w:val="clear" w:color="auto" w:fill="FFFFFF"/>
        </w:rPr>
        <w:t>万元，占8.44%；经营支出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9.45</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万元，与2023年度相比，无增减，主要原因是2023、2024年均无结转和结余。</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2024年度财政拨款收、支总计1235.65万元。与2023年相比，财政拨款收、支总计各减少368.23万元，下降22.96%。主要原因是2023年清算补发以前年度超额绩效、健康休养费。</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1229.65</w:t>
      </w:r>
      <w:r>
        <w:rPr>
          <w:rFonts w:ascii="方正仿宋_GBK" w:hAnsi="方正仿宋_GBK" w:eastAsia="方正仿宋_GBK" w:cs="方正仿宋_GBK"/>
          <w:sz w:val="32"/>
          <w:szCs w:val="32"/>
          <w:shd w:val="clear" w:color="auto" w:fill="FFFFFF"/>
        </w:rPr>
        <w:t>万元，与2023年度相比，减少373.97万元，下降23.32%。主要原因是2023年清算补发以前年度超额绩效、健康休养费。较年初预算数增加62.06万元，增长5.32%。主要原因是超额绩效纳入养老保险和职业年金基数。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1229.65</w:t>
      </w:r>
      <w:r>
        <w:rPr>
          <w:rFonts w:ascii="方正仿宋_GBK" w:hAnsi="方正仿宋_GBK" w:eastAsia="方正仿宋_GBK" w:cs="方正仿宋_GBK"/>
          <w:sz w:val="32"/>
          <w:szCs w:val="32"/>
          <w:shd w:val="clear" w:color="auto" w:fill="FFFFFF"/>
        </w:rPr>
        <w:t>万元，与2023年度相比，减少374.23万元，下降23.33%。主要原因是2023年清算补发以前年度超额绩效、健康休养费。较年初预算数增加62.06万元，增长5.32%。主要原因是超额绩效纳入养老保险和职业年金基数。</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825.70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67.15</w:t>
      </w:r>
      <w:r>
        <w:rPr>
          <w:rFonts w:ascii="方正仿宋_GBK" w:hAnsi="方正仿宋_GBK" w:eastAsia="方正仿宋_GBK" w:cs="方正仿宋_GBK"/>
          <w:sz w:val="32"/>
          <w:szCs w:val="32"/>
          <w:shd w:val="clear" w:color="auto" w:fill="FFFFFF"/>
        </w:rPr>
        <w:t>%，较年初预算数增加22.91万元，增长2.85%，主要原因是本年预算执行中教职工正常晋升、岗位职级变化等人员经费增加所致。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316.71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25.76</w:t>
      </w:r>
      <w:r>
        <w:rPr>
          <w:rFonts w:ascii="方正仿宋_GBK" w:hAnsi="方正仿宋_GBK" w:eastAsia="方正仿宋_GBK" w:cs="方正仿宋_GBK"/>
          <w:sz w:val="32"/>
          <w:szCs w:val="32"/>
          <w:shd w:val="clear" w:color="auto" w:fill="FFFFFF"/>
        </w:rPr>
        <w:t>%，较年初预算数增加44.22万元，增长16.23%，主要原因是本年预算执行中将超额绩效纳入养老保险和职业年金基数增加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39.72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3.23</w:t>
      </w:r>
      <w:r>
        <w:rPr>
          <w:rFonts w:ascii="方正仿宋_GBK" w:hAnsi="方正仿宋_GBK" w:eastAsia="方正仿宋_GBK" w:cs="方正仿宋_GBK"/>
          <w:sz w:val="32"/>
          <w:szCs w:val="32"/>
          <w:shd w:val="clear" w:color="auto" w:fill="FFFFFF"/>
        </w:rPr>
        <w:t>%，较年初预算数减少2.24万元，下降5.34%，主要原因是本年预算执行中教职工退休减少了缴费基数。</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住房保障支出47.52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3.86</w:t>
      </w:r>
      <w:r>
        <w:rPr>
          <w:rFonts w:ascii="方正仿宋_GBK" w:hAnsi="方正仿宋_GBK" w:eastAsia="方正仿宋_GBK" w:cs="方正仿宋_GBK"/>
          <w:sz w:val="32"/>
          <w:szCs w:val="32"/>
          <w:shd w:val="clear" w:color="auto" w:fill="FFFFFF"/>
        </w:rPr>
        <w:t>%，较年初预算数减少2.83万元，下降5.62%，主要原因是本年预算执行中教职工退休减少了缴费基数。</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1126.24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1104.95</w:t>
      </w:r>
      <w:r>
        <w:rPr>
          <w:rFonts w:ascii="方正仿宋_GBK" w:hAnsi="方正仿宋_GBK" w:eastAsia="方正仿宋_GBK" w:cs="方正仿宋_GBK"/>
          <w:sz w:val="32"/>
          <w:szCs w:val="32"/>
          <w:shd w:val="clear" w:color="auto" w:fill="FFFFFF"/>
        </w:rPr>
        <w:t>万元，与2023年度相比，减少363.66万元，下降24.76%，主要原因是2023年清算补发以前年度超额绩效、健康休养费。人员经费用途主要包括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21.29</w:t>
      </w:r>
      <w:r>
        <w:rPr>
          <w:rFonts w:ascii="方正仿宋_GBK" w:hAnsi="方正仿宋_GBK" w:eastAsia="方正仿宋_GBK" w:cs="方正仿宋_GBK"/>
          <w:sz w:val="32"/>
          <w:szCs w:val="32"/>
          <w:shd w:val="clear" w:color="auto" w:fill="FFFFFF"/>
        </w:rPr>
        <w:t>万元，与2023年度相比，减少5.03万元，下降19.11%，主要原因是工会经费、培训费、福利费的预算基数减少所致。公用经费用途主要包括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万元，与2023年度相比，增加6.00万元，增长100.00%。本年支出</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万元，与2023年度相比，增加6.00万元，增长100.00%，主要原因是财政追加政府性基金用于乡村少年宫项目建设。</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Times New Roman" w:hAnsi="Times New Roman" w:eastAsia="方正黑体_GBK"/>
          <w:sz w:val="32"/>
        </w:rPr>
      </w:pPr>
      <w:r>
        <w:rPr>
          <w:rFonts w:ascii="Times New Roman" w:hAnsi="Times New Roman" w:eastAsia="方正黑体_GBK"/>
          <w:sz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spacing w:line="600" w:lineRule="exact"/>
        <w:ind w:firstLine="200"/>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1.89</w:t>
      </w:r>
      <w:r>
        <w:rPr>
          <w:rFonts w:ascii="方正仿宋_GBK" w:hAnsi="方正仿宋_GBK" w:eastAsia="方正仿宋_GBK" w:cs="方正仿宋_GBK"/>
          <w:sz w:val="32"/>
          <w:szCs w:val="32"/>
          <w:shd w:val="clear" w:color="auto" w:fill="FFFFFF"/>
        </w:rPr>
        <w:t>万元，与2023年度相比，减少2.24万元，下降54.24%，主要原因是学校压缩公用经费支出，减少了师资队伍的培训</w:t>
      </w:r>
      <w:r>
        <w:rPr>
          <w:rFonts w:hint="eastAsia" w:ascii="方正仿宋_GBK" w:hAnsi="方正仿宋_GBK" w:eastAsia="方正仿宋_GBK" w:cs="方正仿宋_GBK"/>
          <w:sz w:val="32"/>
          <w:szCs w:val="32"/>
          <w:shd w:val="clear" w:color="auto" w:fill="FFFFFF"/>
          <w:lang w:eastAsia="zh-CN"/>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%。2024年度我单位未发生政府采购事项，无相关经费支出。</w:t>
      </w:r>
    </w:p>
    <w:p>
      <w:pPr>
        <w:spacing w:line="600" w:lineRule="exact"/>
        <w:ind w:firstLine="640" w:firstLineChars="200"/>
        <w:rPr>
          <w:rFonts w:hint="default" w:ascii="Times New Roman" w:hAnsi="Times New Roman" w:eastAsia="方正黑体_GBK"/>
          <w:sz w:val="32"/>
        </w:rPr>
      </w:pPr>
      <w:r>
        <w:rPr>
          <w:rFonts w:ascii="Times New Roman" w:hAnsi="Times New Roman" w:eastAsia="方正黑体_GBK"/>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根据预算绩效管理要求，我单位对14个二级项目开展了绩效自评，涉及财政拨款项目支出资金103.41万元。</w:t>
      </w:r>
    </w:p>
    <w:p>
      <w:pPr>
        <w:pStyle w:val="11"/>
        <w:widowControl w:val="0"/>
        <w:autoSpaceDE w:val="0"/>
        <w:spacing w:line="600" w:lineRule="atLeast"/>
        <w:ind w:firstLine="640"/>
        <w:rPr>
          <w:rFonts w:ascii="方正楷体_GBK" w:hAnsi="楷体" w:eastAsia="方正楷体_GBK" w:cs="楷体"/>
          <w:b/>
          <w:bCs/>
          <w:sz w:val="32"/>
          <w:szCs w:val="32"/>
          <w:shd w:val="clear" w:color="auto" w:fill="FFFFFF"/>
          <w:lang w:bidi="ar"/>
        </w:rPr>
      </w:pP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301615" cy="4805680"/>
            <wp:effectExtent l="0" t="0" r="381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301615" cy="4805680"/>
                    </a:xfrm>
                    <a:prstGeom prst="rect">
                      <a:avLst/>
                    </a:prstGeom>
                    <a:noFill/>
                    <a:ln>
                      <a:noFill/>
                    </a:ln>
                  </pic:spPr>
                </pic:pic>
              </a:graphicData>
            </a:graphic>
          </wp:inline>
        </w:drawing>
      </w:r>
      <w:r>
        <w:t xml:space="preserve"> </w:t>
      </w:r>
      <w:r>
        <w:drawing>
          <wp:inline distT="0" distB="0" distL="114300" distR="114300">
            <wp:extent cx="5302885" cy="4946015"/>
            <wp:effectExtent l="0" t="0" r="254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302885" cy="4946015"/>
                    </a:xfrm>
                    <a:prstGeom prst="rect">
                      <a:avLst/>
                    </a:prstGeom>
                    <a:noFill/>
                    <a:ln>
                      <a:noFill/>
                    </a:ln>
                  </pic:spPr>
                </pic:pic>
              </a:graphicData>
            </a:graphic>
          </wp:inline>
        </w:drawing>
      </w:r>
    </w:p>
    <w:p>
      <w:pPr>
        <w:rPr>
          <w:rFonts w:hint="eastAsia" w:ascii="楷体" w:hAnsi="楷体" w:eastAsia="楷体" w:cs="宋体"/>
          <w:b/>
          <w:bCs/>
          <w:color w:val="000000"/>
          <w:sz w:val="32"/>
          <w:szCs w:val="32"/>
          <w:highlight w:val="red"/>
          <w:shd w:val="clear" w:color="auto" w:fill="FFFFFF"/>
          <w:lang w:eastAsia="zh-CN"/>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Times New Roman" w:hAnsi="Times New Roman" w:eastAsia="方正黑体_GBK"/>
          <w:sz w:val="32"/>
        </w:rPr>
      </w:pPr>
      <w:r>
        <w:rPr>
          <w:rFonts w:ascii="Times New Roman" w:hAnsi="Times New Roman" w:eastAsia="方正黑体_GBK"/>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bookmarkStart w:id="0" w:name="_GoBack"/>
      <w:bookmarkEnd w:id="0"/>
      <w:r>
        <w:rPr>
          <w:rFonts w:ascii="方正仿宋_GBK" w:hAnsi="方正仿宋_GBK" w:eastAsia="方正仿宋_GBK" w:cs="方正仿宋_GBK"/>
          <w:sz w:val="32"/>
          <w:szCs w:val="32"/>
          <w:shd w:val="clear" w:color="auto" w:fill="FFFFFF"/>
        </w:rPr>
        <w:t>“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七、决算公开联系方式及信息反馈渠道</w:t>
      </w:r>
    </w:p>
    <w:p>
      <w:pPr>
        <w:pStyle w:val="6"/>
        <w:shd w:val="clear" w:color="auto" w:fill="FFFFFF"/>
        <w:spacing w:before="0" w:beforeAutospacing="0" w:after="0" w:afterAutospacing="0" w:line="600" w:lineRule="exact"/>
        <w:ind w:firstLine="640" w:firstLineChars="200"/>
        <w:rPr>
          <w:rFonts w:ascii="方正黑体_GBK" w:hAnsi="方正仿宋_GBK" w:eastAsia="方正黑体_GBK" w:cs="方正仿宋_GBK"/>
          <w:b/>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1"/>
        <w:autoSpaceDE w:val="0"/>
        <w:spacing w:line="600"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程老师：023-74595550</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sz w:val="22"/>
                <w:szCs w:val="22"/>
              </w:rPr>
            </w:pPr>
            <w:r>
              <w:rPr>
                <w:rFonts w:cs="宋体"/>
                <w:sz w:val="20"/>
                <w:szCs w:val="20"/>
              </w:rPr>
              <w:t>单位：</w:t>
            </w:r>
            <w:r>
              <w:rPr>
                <w:sz w:val="20"/>
              </w:rPr>
              <w:t>垫江县永平小学校</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1,229.65</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6.00</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27.39</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896.71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42.43</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316.71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39.72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47.52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1,305.47</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1,306.66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10.65</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9.45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1,316.12</w:t>
            </w:r>
            <w:r>
              <w:rPr>
                <w:rFonts w:ascii="Times New Roman" w:hAnsi="Times New Roman"/>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1,316.12</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211" w:type="dxa"/>
        <w:tblInd w:w="0" w:type="dxa"/>
        <w:tblLayout w:type="fixed"/>
        <w:tblCellMar>
          <w:top w:w="0" w:type="dxa"/>
          <w:left w:w="0" w:type="dxa"/>
          <w:bottom w:w="0" w:type="dxa"/>
          <w:right w:w="0" w:type="dxa"/>
        </w:tblCellMar>
      </w:tblPr>
      <w:tblGrid>
        <w:gridCol w:w="1429"/>
        <w:gridCol w:w="3299"/>
        <w:gridCol w:w="1200"/>
        <w:gridCol w:w="1448"/>
        <w:gridCol w:w="1256"/>
        <w:gridCol w:w="1436"/>
        <w:gridCol w:w="1460"/>
        <w:gridCol w:w="1293"/>
        <w:gridCol w:w="1349"/>
        <w:gridCol w:w="1041"/>
      </w:tblGrid>
      <w:tr>
        <w:tblPrEx>
          <w:tblLayout w:type="fixed"/>
          <w:tblCellMar>
            <w:top w:w="0" w:type="dxa"/>
            <w:left w:w="0" w:type="dxa"/>
            <w:bottom w:w="0" w:type="dxa"/>
            <w:right w:w="0" w:type="dxa"/>
          </w:tblCellMar>
        </w:tblPrEx>
        <w:trPr>
          <w:trHeight w:val="641" w:hRule="atLeast"/>
        </w:trPr>
        <w:tc>
          <w:tcPr>
            <w:tcW w:w="15211"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垫江县永平小学校</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0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0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29" w:hRule="exact"/>
        </w:trPr>
        <w:tc>
          <w:tcPr>
            <w:tcW w:w="472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29" w:hRule="exac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9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9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9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9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47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1,305.47</w:t>
            </w:r>
            <w:r>
              <w:rPr>
                <w:rFonts w:ascii="Times New Roman" w:hAnsi="Times New Roman"/>
                <w:b/>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1,235.65</w:t>
            </w:r>
            <w:r>
              <w:rPr>
                <w:rFonts w:ascii="Times New Roman" w:hAnsi="Times New Roman"/>
                <w:b/>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27.39</w:t>
            </w:r>
            <w:r>
              <w:rPr>
                <w:rFonts w:ascii="Times New Roman" w:hAnsi="Times New Roman"/>
                <w:b/>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27.39</w:t>
            </w:r>
            <w:r>
              <w:rPr>
                <w:rFonts w:ascii="Times New Roman" w:hAnsi="Times New Roman"/>
                <w:b/>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0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42.43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895.52</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825.70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27.39</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27.39</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42.43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893.63</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823.81</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27.39</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27.39</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42.43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39.36</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11.97</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27.39</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27.39</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854.28</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811.84</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42.43</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1.89</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1.89</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1.89</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1.89</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316.71</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316.71</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316.71</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316.71</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98.52</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98.52</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49.33</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49.33</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168.86</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168.86</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39.72</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39.72</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39.72</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39.72</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39.72</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39.72</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47.52</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47.52</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47.52</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47.52</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47.52</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47.52</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229</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其他支出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22960</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彩票公益金安排的支出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2296004</w:t>
            </w:r>
          </w:p>
        </w:tc>
        <w:tc>
          <w:tcPr>
            <w:tcW w:w="3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用于教育事业的彩票公益金支出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6.00</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垫江县永平小学校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29" w:hRule="exac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29" w:hRule="exac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9" w:hRule="exac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1,306.66</w:t>
            </w:r>
            <w:r>
              <w:rPr>
                <w:rFonts w:ascii="Times New Roman" w:hAnsi="Times New Roman"/>
                <w:b/>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1,196.40</w:t>
            </w:r>
            <w:r>
              <w:rPr>
                <w:rFonts w:ascii="Times New Roman" w:hAnsi="Times New Roman"/>
                <w:b/>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110.26</w:t>
            </w:r>
            <w:r>
              <w:rPr>
                <w:rFonts w:ascii="Times New Roman" w:hAnsi="Times New Roman"/>
                <w:b/>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896.71</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793.00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103.71</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894.83</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791.11</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103.71</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50.00</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37.96</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12.04</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844.82</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753.15</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91.67</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1.89</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1.89</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1.89</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1.89</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316.71</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316.16</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0.55</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316.71</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316.16</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0.55</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98.52</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98.52</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49.33</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49.33</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168.86</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168.31</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0.55</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39.72</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39.72</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39.72</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39.72</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39.72</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39.72</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47.52</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47.52</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47.52</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47.52</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47.52</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47.52</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2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其他支出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22960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彩票公益金安排的支出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29"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2296004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用于教育事业的彩票公益金支出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6.00</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垫江县永平小学校</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1,229.65</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6.00</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825.70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825.70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316.71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316.71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39.72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39.72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47.52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47.52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6.00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6.00</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1,235.65</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1,235.65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1,229.65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6.00</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1,235.65</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1,235.65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1,229.65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6.00</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垫江县永平小学校</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1,229.65</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1,126.24</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103.41</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825.70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722.84</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102.86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823.81</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720.96</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102.86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11.97</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11.97</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811.84</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720.96</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90.89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1.89</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1.89</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1.89</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1.89</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316.71</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316.16</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0.55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316.71</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316.16</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0.55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98.52</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98.52</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49.33</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49.33</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168.86</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168.31</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0.55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39.72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39.72</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39.72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39.72</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39.72</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39.72</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47.52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47.52</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47.52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47.52</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47.52</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47.52</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垫江县永平小学校</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936.64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21.29</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211.68</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31.35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449.74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98.52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49.33</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39.72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1.26</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47.52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7.52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168.31</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1.89</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151.77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11.20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5.04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sz w:val="18"/>
                <w:szCs w:val="18"/>
              </w:rPr>
            </w:pPr>
            <w:r>
              <w:rPr>
                <w:rFonts w:cs="宋体"/>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5.34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14.37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sz w:val="18"/>
                <w:szCs w:val="18"/>
              </w:rPr>
            </w:pPr>
            <w:r>
              <w:rPr>
                <w:rFonts w:hint="default" w:ascii="Times New Roman" w:hAnsi="Times New Roman"/>
                <w:sz w:val="18"/>
                <w:szCs w:val="18"/>
              </w:rPr>
              <w:t>1,104.95</w:t>
            </w:r>
            <w:r>
              <w:rPr>
                <w:rFonts w:ascii="Times New Roman" w:hAnsi="Times New Roman"/>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21.29</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垫江县永平小学校</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6.00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229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22960</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2296004</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用于教育事业的彩票公益金支出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垫江县永平小学校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垫江县永平小学校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1.89</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4.38</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1E44D8"/>
    <w:rsid w:val="002B254B"/>
    <w:rsid w:val="00330F8A"/>
    <w:rsid w:val="0034050A"/>
    <w:rsid w:val="0044504F"/>
    <w:rsid w:val="00466C9B"/>
    <w:rsid w:val="00486CFC"/>
    <w:rsid w:val="00491DDD"/>
    <w:rsid w:val="00550ABE"/>
    <w:rsid w:val="00623A85"/>
    <w:rsid w:val="006C7457"/>
    <w:rsid w:val="00770383"/>
    <w:rsid w:val="007819D4"/>
    <w:rsid w:val="007B419D"/>
    <w:rsid w:val="007B7C4B"/>
    <w:rsid w:val="007D3D39"/>
    <w:rsid w:val="00984266"/>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166463"/>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AC8184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4D5D26"/>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997F07"/>
    <w:rsid w:val="5A3B59D6"/>
    <w:rsid w:val="5AD134D8"/>
    <w:rsid w:val="5BF41F67"/>
    <w:rsid w:val="5C263CE4"/>
    <w:rsid w:val="5C5D2777"/>
    <w:rsid w:val="5CF66BF3"/>
    <w:rsid w:val="5D290C69"/>
    <w:rsid w:val="5DA80C2C"/>
    <w:rsid w:val="5F2D4A41"/>
    <w:rsid w:val="60C74F6C"/>
    <w:rsid w:val="60CE7A57"/>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3175</Words>
  <Characters>3730</Characters>
  <Lines>102</Lines>
  <Paragraphs>28</Paragraphs>
  <TotalTime>1</TotalTime>
  <ScaleCrop>false</ScaleCrop>
  <LinksUpToDate>false</LinksUpToDate>
  <CharactersWithSpaces>3734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2025-09-22T09:07:22Z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