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垫江县长龙小学校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rPr>
      </w:pPr>
      <w:r>
        <w:rPr>
          <w:rFonts w:eastAsia="方正仿宋_GBK"/>
          <w:sz w:val="32"/>
        </w:rPr>
        <w:t>1</w:t>
      </w:r>
      <w:r>
        <w:rPr>
          <w:rFonts w:hint="eastAsia" w:eastAsia="方正仿宋_GBK"/>
          <w:sz w:val="32"/>
          <w:lang w:val="en-US" w:eastAsia="zh-CN"/>
        </w:rPr>
        <w:t>.</w:t>
      </w:r>
      <w:r>
        <w:rPr>
          <w:rFonts w:eastAsia="方正仿宋_GBK"/>
          <w:sz w:val="32"/>
        </w:rPr>
        <w:t>负责辖区适龄儿童义务教育工作；负责辖区学前儿童教育与保育工作。</w:t>
      </w:r>
    </w:p>
    <w:p>
      <w:pPr>
        <w:spacing w:line="600" w:lineRule="exact"/>
        <w:ind w:firstLine="640" w:firstLineChars="200"/>
        <w:rPr>
          <w:rFonts w:hint="default" w:eastAsia="方正仿宋_GBK"/>
          <w:sz w:val="32"/>
        </w:rPr>
      </w:pPr>
      <w:r>
        <w:rPr>
          <w:rFonts w:eastAsia="方正仿宋_GBK"/>
          <w:sz w:val="32"/>
        </w:rPr>
        <w:t>2</w:t>
      </w:r>
      <w:r>
        <w:rPr>
          <w:rFonts w:hint="eastAsia" w:eastAsia="方正仿宋_GBK"/>
          <w:sz w:val="32"/>
          <w:lang w:val="en-US" w:eastAsia="zh-CN"/>
        </w:rPr>
        <w:t>.</w:t>
      </w:r>
      <w:r>
        <w:rPr>
          <w:rFonts w:eastAsia="方正仿宋_GBK"/>
          <w:sz w:val="32"/>
        </w:rPr>
        <w:t>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3" w:firstLineChars="200"/>
        <w:rPr>
          <w:rFonts w:hint="default" w:eastAsia="方正楷体_GBK"/>
          <w:b/>
          <w:sz w:val="32"/>
        </w:rPr>
      </w:pPr>
      <w:r>
        <w:rPr>
          <w:rFonts w:eastAsia="方正楷体_GBK"/>
          <w:b/>
          <w:sz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rPr>
      </w:pPr>
      <w:r>
        <w:rPr>
          <w:rFonts w:eastAsia="方正仿宋_GBK"/>
          <w:sz w:val="32"/>
        </w:rPr>
        <w:t>学校单位领导职数3名(校长1名、副校长2名)，内设机构领导职数4名，内设机构有德育处、教务处、教科处、后勤处。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2024年度收入总计1613.33万元，支出总计</w:t>
      </w:r>
      <w:r>
        <w:rPr>
          <w:rFonts w:ascii="方正仿宋_GBK" w:hAnsi="方正仿宋_GBK" w:eastAsia="方正仿宋_GBK" w:cs="方正仿宋_GBK"/>
          <w:sz w:val="32"/>
          <w:szCs w:val="32"/>
        </w:rPr>
        <w:t>1613.33</w:t>
      </w:r>
      <w:r>
        <w:rPr>
          <w:rFonts w:ascii="方正仿宋_GBK" w:hAnsi="方正仿宋_GBK" w:eastAsia="方正仿宋_GBK" w:cs="方正仿宋_GBK"/>
          <w:sz w:val="32"/>
          <w:szCs w:val="32"/>
          <w:shd w:val="clear" w:color="auto" w:fill="FFFFFF"/>
        </w:rPr>
        <w:t>万元。收、支与2023年度相比，减少417.17万元，下降20.55%，主要原因是2023年清算补发以前年度超额绩效和健康休养费且教师人数减少。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2024年度收入合计1596.53万元，与2023年度相比，减少397.58万元，下降19.94%，主要原因是2023年清算补发以前年度超额绩效和健康休养费且教师人数减少。其中：财政拨款收入</w:t>
      </w:r>
      <w:r>
        <w:rPr>
          <w:rFonts w:ascii="方正仿宋_GBK" w:hAnsi="方正仿宋_GBK" w:eastAsia="方正仿宋_GBK" w:cs="方正仿宋_GBK"/>
          <w:sz w:val="32"/>
          <w:szCs w:val="32"/>
        </w:rPr>
        <w:t>1502.01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94.08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48.20</w:t>
      </w:r>
      <w:r>
        <w:rPr>
          <w:rFonts w:ascii="方正仿宋_GBK" w:hAnsi="方正仿宋_GBK" w:eastAsia="方正仿宋_GBK" w:cs="方正仿宋_GBK"/>
          <w:sz w:val="32"/>
          <w:szCs w:val="32"/>
          <w:shd w:val="clear" w:color="auto" w:fill="FFFFFF"/>
        </w:rPr>
        <w:t>万元，占3.02%；经营收入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46.32</w:t>
      </w:r>
      <w:r>
        <w:rPr>
          <w:rFonts w:ascii="方正仿宋_GBK" w:hAnsi="方正仿宋_GBK" w:eastAsia="方正仿宋_GBK" w:cs="方正仿宋_GBK"/>
          <w:sz w:val="32"/>
          <w:szCs w:val="32"/>
          <w:shd w:val="clear" w:color="auto" w:fill="FFFFFF"/>
        </w:rPr>
        <w:t>万元，占2.90%。此外，使用非财政拨款结余和专用结余</w:t>
      </w:r>
      <w:r>
        <w:rPr>
          <w:rFonts w:ascii="方正仿宋_GBK" w:hAnsi="方正仿宋_GBK" w:eastAsia="方正仿宋_GBK" w:cs="方正仿宋_GBK"/>
          <w:sz w:val="32"/>
          <w:szCs w:val="32"/>
        </w:rPr>
        <w:t>12.10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1608.30</w:t>
      </w:r>
      <w:r>
        <w:rPr>
          <w:rFonts w:ascii="方正仿宋_GBK" w:hAnsi="方正仿宋_GBK" w:eastAsia="方正仿宋_GBK" w:cs="方正仿宋_GBK"/>
          <w:sz w:val="32"/>
          <w:szCs w:val="32"/>
          <w:shd w:val="clear" w:color="auto" w:fill="FFFFFF"/>
        </w:rPr>
        <w:t>万元，与2023年度相比，减少415.02万元，下降20.51%，主要原因是2023年清算补发以前年度超额绩效和健康休养费且教师人数减少。其中：基本支出</w:t>
      </w:r>
      <w:r>
        <w:rPr>
          <w:rFonts w:ascii="方正仿宋_GBK" w:hAnsi="方正仿宋_GBK" w:eastAsia="方正仿宋_GBK" w:cs="方正仿宋_GBK"/>
          <w:sz w:val="32"/>
          <w:szCs w:val="32"/>
        </w:rPr>
        <w:t>1494.96</w:t>
      </w:r>
      <w:r>
        <w:rPr>
          <w:rFonts w:ascii="方正仿宋_GBK" w:hAnsi="方正仿宋_GBK" w:eastAsia="方正仿宋_GBK" w:cs="方正仿宋_GBK"/>
          <w:sz w:val="32"/>
          <w:szCs w:val="32"/>
          <w:shd w:val="clear" w:color="auto" w:fill="FFFFFF"/>
        </w:rPr>
        <w:t>万元，占92.95%；项目支出</w:t>
      </w:r>
      <w:r>
        <w:rPr>
          <w:rFonts w:ascii="方正仿宋_GBK" w:hAnsi="方正仿宋_GBK" w:eastAsia="方正仿宋_GBK" w:cs="方正仿宋_GBK"/>
          <w:sz w:val="32"/>
          <w:szCs w:val="32"/>
        </w:rPr>
        <w:t>113.34</w:t>
      </w:r>
      <w:r>
        <w:rPr>
          <w:rFonts w:ascii="方正仿宋_GBK" w:hAnsi="方正仿宋_GBK" w:eastAsia="方正仿宋_GBK" w:cs="方正仿宋_GBK"/>
          <w:sz w:val="32"/>
          <w:szCs w:val="32"/>
          <w:shd w:val="clear" w:color="auto" w:fill="FFFFFF"/>
        </w:rPr>
        <w:t>万元，占7.05%；经营支出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5.03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2024年度财政拨款收、支总计1502.01万元。与2023年相比，财政拨款收、支总计各减少406.25万元，下降21.29%。主要原因是2023年清算补发以前年度超额绩效和健康休养费且教师人数减少。</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1496.01</w:t>
      </w:r>
      <w:r>
        <w:rPr>
          <w:rFonts w:ascii="方正仿宋_GBK" w:hAnsi="方正仿宋_GBK" w:eastAsia="方正仿宋_GBK" w:cs="方正仿宋_GBK"/>
          <w:sz w:val="32"/>
          <w:szCs w:val="32"/>
          <w:shd w:val="clear" w:color="auto" w:fill="FFFFFF"/>
        </w:rPr>
        <w:t>万元，与2023年度相比，减少408.14万元，下降21.43%。主要原因是2023年清算补发以前年度超额绩效和健康休养费且教师人数减少。较年初预算数增加153.65万元，增长11.45%。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1496.01</w:t>
      </w:r>
      <w:r>
        <w:rPr>
          <w:rFonts w:ascii="方正仿宋_GBK" w:hAnsi="方正仿宋_GBK" w:eastAsia="方正仿宋_GBK" w:cs="方正仿宋_GBK"/>
          <w:sz w:val="32"/>
          <w:szCs w:val="32"/>
          <w:shd w:val="clear" w:color="auto" w:fill="FFFFFF"/>
        </w:rPr>
        <w:t>万元，与2023年度相比，减少408.43万元，下降21.45%。主要原因是2023年清算补发以前年度超额绩效和健康休养费且教师人数减少。较年初预算数增加153.65万元，增长11.45%。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986.37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65.93</w:t>
      </w:r>
      <w:r>
        <w:rPr>
          <w:rFonts w:ascii="方正仿宋_GBK" w:hAnsi="方正仿宋_GBK" w:eastAsia="方正仿宋_GBK" w:cs="方正仿宋_GBK"/>
          <w:sz w:val="32"/>
          <w:szCs w:val="32"/>
          <w:shd w:val="clear" w:color="auto" w:fill="FFFFFF"/>
        </w:rPr>
        <w:t>%，较年初预算数增加85.73万元，增长9.52%，主要原因是本年预算执行中因教职工正常晋升、岗位职级变化等人员经费增加所致。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402.23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26.89</w:t>
      </w:r>
      <w:r>
        <w:rPr>
          <w:rFonts w:ascii="方正仿宋_GBK" w:hAnsi="方正仿宋_GBK" w:eastAsia="方正仿宋_GBK" w:cs="方正仿宋_GBK"/>
          <w:sz w:val="32"/>
          <w:szCs w:val="32"/>
          <w:shd w:val="clear" w:color="auto" w:fill="FFFFFF"/>
        </w:rPr>
        <w:t>%，较年初预算数增加69.00万元，增长20.71%，主要原因是本年预算执行中将超额绩效纳入养老保险和职业年金基数增加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48.98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3.27</w:t>
      </w:r>
      <w:r>
        <w:rPr>
          <w:rFonts w:ascii="方正仿宋_GBK" w:hAnsi="方正仿宋_GBK" w:eastAsia="方正仿宋_GBK" w:cs="方正仿宋_GBK"/>
          <w:sz w:val="32"/>
          <w:szCs w:val="32"/>
          <w:shd w:val="clear" w:color="auto" w:fill="FFFFFF"/>
        </w:rPr>
        <w:t>%，较年初预算数减少0.33万元，下降0.67%，主要原因是本年预算执行中因教职工退休后减少了缴费基数。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住房保障支出58.43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%，较年初预算数减少0.74万元，下降1.25%，主要原因是本年预算执行中因教职工退休后减少了缴费基数。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1393.37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1364.69</w:t>
      </w:r>
      <w:r>
        <w:rPr>
          <w:rFonts w:ascii="方正仿宋_GBK" w:hAnsi="方正仿宋_GBK" w:eastAsia="方正仿宋_GBK" w:cs="方正仿宋_GBK"/>
          <w:sz w:val="32"/>
          <w:szCs w:val="32"/>
          <w:shd w:val="clear" w:color="auto" w:fill="FFFFFF"/>
        </w:rPr>
        <w:t>万元，与2023年度相比，减少349.07万元，下降20.37%，主要原因是2023年清算补发以前年度超额绩效和健康休养费且教师人数减少。人员经费用途主要包括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28.68</w:t>
      </w:r>
      <w:r>
        <w:rPr>
          <w:rFonts w:ascii="方正仿宋_GBK" w:hAnsi="方正仿宋_GBK" w:eastAsia="方正仿宋_GBK" w:cs="方正仿宋_GBK"/>
          <w:sz w:val="32"/>
          <w:szCs w:val="32"/>
          <w:shd w:val="clear" w:color="auto" w:fill="FFFFFF"/>
        </w:rPr>
        <w:t>万元，与2023年度相比，减少4.45万元，下降13.43%，主要原因是工会经费、培训费、福利费的预算基数减少所致。公用经费用途主要包括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万元，与2023年度相比，增加2.18万元，增长57.07%。本年支出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万元，与2023年度相比，增加2.18万元，增长57.07%，主要原因是本年乡村少年宫建设项目已经全额完成支付。</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2.39</w:t>
      </w:r>
      <w:r>
        <w:rPr>
          <w:rFonts w:ascii="方正仿宋_GBK" w:hAnsi="方正仿宋_GBK" w:eastAsia="方正仿宋_GBK" w:cs="方正仿宋_GBK"/>
          <w:sz w:val="32"/>
          <w:szCs w:val="32"/>
          <w:shd w:val="clear" w:color="auto" w:fill="FFFFFF"/>
        </w:rPr>
        <w:t>万元，与2023年度相比，减少2.47万元，下降50.82%，主要原因是学校压缩公用经费支出，减少了师资队伍的培训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35.77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35.77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35.77万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35.77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个二级项目开展了绩效自评，涉及财政拨款项目支出资金102.64万元。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55285" cy="4827905"/>
            <wp:effectExtent l="0" t="0" r="254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455285" cy="4827905"/>
                    </a:xfrm>
                    <a:prstGeom prst="rect">
                      <a:avLst/>
                    </a:prstGeom>
                    <a:noFill/>
                    <a:ln>
                      <a:noFill/>
                    </a:ln>
                  </pic:spPr>
                </pic:pic>
              </a:graphicData>
            </a:graphic>
          </wp:inline>
        </w:drawing>
      </w:r>
      <w:r>
        <w:drawing>
          <wp:inline distT="0" distB="0" distL="114300" distR="114300">
            <wp:extent cx="5495925" cy="4938395"/>
            <wp:effectExtent l="0" t="0" r="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495925" cy="493839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张老师   023-74510069</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垫江县长龙小学校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1,496.01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1,596.53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1,608.30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1,613.33</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1,613.33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281" w:type="dxa"/>
        <w:tblInd w:w="0" w:type="dxa"/>
        <w:tblLayout w:type="fixed"/>
        <w:tblCellMar>
          <w:top w:w="0" w:type="dxa"/>
          <w:left w:w="0" w:type="dxa"/>
          <w:bottom w:w="0" w:type="dxa"/>
          <w:right w:w="0" w:type="dxa"/>
        </w:tblCellMar>
      </w:tblPr>
      <w:tblGrid>
        <w:gridCol w:w="1436"/>
        <w:gridCol w:w="3376"/>
        <w:gridCol w:w="1088"/>
        <w:gridCol w:w="1408"/>
        <w:gridCol w:w="1228"/>
        <w:gridCol w:w="1228"/>
        <w:gridCol w:w="1361"/>
        <w:gridCol w:w="1299"/>
        <w:gridCol w:w="1432"/>
        <w:gridCol w:w="1425"/>
      </w:tblGrid>
      <w:tr>
        <w:tblPrEx>
          <w:tblLayout w:type="fixed"/>
          <w:tblCellMar>
            <w:top w:w="0" w:type="dxa"/>
            <w:left w:w="0" w:type="dxa"/>
            <w:bottom w:w="0" w:type="dxa"/>
            <w:right w:w="0" w:type="dxa"/>
          </w:tblCellMar>
        </w:tblPrEx>
        <w:trPr>
          <w:trHeight w:val="641" w:hRule="atLeast"/>
        </w:trPr>
        <w:tc>
          <w:tcPr>
            <w:tcW w:w="15281"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垫江县长龙小学校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48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29" w:hRule="exac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7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7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7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7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48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1,596.53</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1,502.01</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48.20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48.20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1,080.89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1,078.50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1,014.69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垫江县长龙小学校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29"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1,608.30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1,494.96</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113.34</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983.68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923.53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401.49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401.49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120.16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221.62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垫江县长龙小学校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986.37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1,502.01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垫江县长龙小学校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1,393.37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884.47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882.08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882.08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401.49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402.23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401.49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120.16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221.62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垫江县长龙小学校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1,143.07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270.61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540.91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120.16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221.62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207.02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1,364.69</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垫江县长龙小学校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垫江县长龙小学校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垫江县长龙小学校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35.77</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33C4F"/>
    <w:rsid w:val="004C12FF"/>
    <w:rsid w:val="00550ABE"/>
    <w:rsid w:val="005B023C"/>
    <w:rsid w:val="00600322"/>
    <w:rsid w:val="006137D7"/>
    <w:rsid w:val="00634FA8"/>
    <w:rsid w:val="0063613A"/>
    <w:rsid w:val="006A41EF"/>
    <w:rsid w:val="006E2034"/>
    <w:rsid w:val="00732392"/>
    <w:rsid w:val="00792285"/>
    <w:rsid w:val="007A0D2E"/>
    <w:rsid w:val="007A3314"/>
    <w:rsid w:val="007B419D"/>
    <w:rsid w:val="00810F13"/>
    <w:rsid w:val="008C4A90"/>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C4F4C"/>
    <w:rsid w:val="00DF7706"/>
    <w:rsid w:val="00E05175"/>
    <w:rsid w:val="00E352DF"/>
    <w:rsid w:val="00E654E2"/>
    <w:rsid w:val="00E76362"/>
    <w:rsid w:val="00EF592D"/>
    <w:rsid w:val="00F137D3"/>
    <w:rsid w:val="00F13C36"/>
    <w:rsid w:val="00F23C68"/>
    <w:rsid w:val="00F32C53"/>
    <w:rsid w:val="00F73F90"/>
    <w:rsid w:val="00F7623D"/>
    <w:rsid w:val="00F76306"/>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4438A4"/>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582329"/>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4A697C"/>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0D2553"/>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0B1301"/>
    <w:rsid w:val="5F2D4A41"/>
    <w:rsid w:val="60C74F6C"/>
    <w:rsid w:val="61025A59"/>
    <w:rsid w:val="613D5BBC"/>
    <w:rsid w:val="61536C39"/>
    <w:rsid w:val="62944DD7"/>
    <w:rsid w:val="6319381F"/>
    <w:rsid w:val="63236436"/>
    <w:rsid w:val="6366447C"/>
    <w:rsid w:val="63C25DC5"/>
    <w:rsid w:val="63C62057"/>
    <w:rsid w:val="63F14EA0"/>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8693</Words>
  <Characters>11512</Characters>
  <Lines>103</Lines>
  <Paragraphs>29</Paragraphs>
  <TotalTime>0</TotalTime>
  <ScaleCrop>false</ScaleCrop>
  <LinksUpToDate>false</LinksUpToDate>
  <CharactersWithSpaces>12613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2025-09-22T08:20:53Z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B21B4CDA5EDA4303A0986D577D42A5E2_13</vt:lpwstr>
  </property>
  <property fmtid="{D5CDD505-2E9C-101B-9397-08002B2CF9AE}" pid="4" name="KSOTemplateDocerSaveRecord">
    <vt:lpwstr>eyJoZGlkIjoiNjM0Zjk5YTc4NjQ1NmYyOGViZjRkNWIzZWJhYTE3YWEiLCJ1c2VySWQiOiIzODk0NTM2OTAifQ==</vt:lpwstr>
  </property>
</Properties>
</file>