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垫江县砚台小学校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ind w:firstLine="643" w:firstLineChars="200"/>
        <w:rPr>
          <w:rStyle w:val="10"/>
          <w:rFonts w:ascii="方正黑体_GBK" w:eastAsia="方正黑体_GBK"/>
          <w:color w:val="000000" w:themeColor="text1"/>
          <w:sz w:val="32"/>
          <w:szCs w:val="32"/>
        </w:rPr>
      </w:pPr>
    </w:p>
    <w:p>
      <w:pPr>
        <w:spacing w:line="600" w:lineRule="exact"/>
        <w:ind w:firstLine="640" w:firstLineChars="200"/>
        <w:rPr>
          <w:rStyle w:val="10"/>
          <w:rFonts w:hint="default" w:ascii="方正黑体_GBK" w:eastAsia="方正黑体_GBK"/>
          <w:b w:val="0"/>
          <w:bCs/>
          <w:sz w:val="32"/>
          <w:szCs w:val="32"/>
        </w:rPr>
      </w:pPr>
      <w:r>
        <w:rPr>
          <w:rStyle w:val="10"/>
          <w:rFonts w:ascii="方正黑体_GBK" w:eastAsia="方正黑体_GBK"/>
          <w:b w:val="0"/>
          <w:bCs/>
          <w:sz w:val="32"/>
          <w:szCs w:val="32"/>
        </w:rPr>
        <w:t>一、单位基本情况</w:t>
      </w:r>
    </w:p>
    <w:p>
      <w:pPr>
        <w:spacing w:line="600" w:lineRule="exact"/>
        <w:ind w:firstLine="643" w:firstLineChars="200"/>
        <w:rPr>
          <w:rFonts w:hint="default" w:hAnsi="方正仿宋_GBK" w:cs="方正仿宋_GBK"/>
        </w:rPr>
      </w:pPr>
      <w:r>
        <w:rPr>
          <w:rStyle w:val="10"/>
          <w:rFonts w:ascii="方正楷体_GBK" w:hAnsi="楷体" w:eastAsia="方正楷体_GBK" w:cs="楷体"/>
          <w:sz w:val="32"/>
          <w:szCs w:val="32"/>
          <w:shd w:val="clear" w:color="auto" w:fill="FFFFFF"/>
        </w:rPr>
        <w:t>（一）职能职责</w:t>
      </w:r>
    </w:p>
    <w:p>
      <w:pPr>
        <w:spacing w:line="600" w:lineRule="exact"/>
        <w:ind w:firstLine="640" w:firstLineChars="200"/>
        <w:rPr>
          <w:rFonts w:hint="default" w:ascii="Times New Roman" w:hAnsi="Times New Roman" w:eastAsia="方正仿宋_GBK"/>
          <w:sz w:val="32"/>
        </w:rPr>
      </w:pPr>
      <w:r>
        <w:rPr>
          <w:rFonts w:ascii="Times New Roman" w:hAnsi="Times New Roman" w:eastAsia="方正仿宋_GBK"/>
          <w:sz w:val="32"/>
        </w:rPr>
        <w:t>1.负责辖区适龄儿童义务教育工作；负责辖区学前儿童教育与保育工作。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rPr>
        <w:t>2.受县教育行政部门委托，负责所在乡镇各学校（不含直属学校），做好党的教育方针及 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600" w:lineRule="exact"/>
        <w:ind w:firstLine="643"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学校单位领导职数4名(校长1名、副校长3名)，内设机构领导职数4名，本单位内设德育处、教务处、教科处、后勤处。</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2024年度收入总计1654.47万元，支出总计</w:t>
      </w:r>
      <w:r>
        <w:rPr>
          <w:rFonts w:ascii="方正仿宋_GBK" w:hAnsi="方正仿宋_GBK" w:eastAsia="方正仿宋_GBK" w:cs="方正仿宋_GBK"/>
          <w:sz w:val="32"/>
          <w:szCs w:val="32"/>
        </w:rPr>
        <w:t>1654.47</w:t>
      </w:r>
      <w:r>
        <w:rPr>
          <w:rFonts w:ascii="方正仿宋_GBK" w:hAnsi="方正仿宋_GBK" w:eastAsia="方正仿宋_GBK" w:cs="方正仿宋_GBK"/>
          <w:sz w:val="32"/>
          <w:szCs w:val="32"/>
          <w:shd w:val="clear" w:color="auto" w:fill="FFFFFF"/>
        </w:rPr>
        <w:t>万元。收、支与2023年度相比，减少288.26万元，下降14.84%，主要原因是2023年清算补发以前年度超额绩效和健康休养费。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2024年度收入合计1588.77万元，与2023年度相比，减少295.52万元，下降15.68%，主要原因是2023年清算补发以前年度超额绩效和健康休养费。其中：财政拨款收入</w:t>
      </w:r>
      <w:r>
        <w:rPr>
          <w:rFonts w:ascii="方正仿宋_GBK" w:hAnsi="方正仿宋_GBK" w:eastAsia="方正仿宋_GBK" w:cs="方正仿宋_GBK"/>
          <w:sz w:val="32"/>
          <w:szCs w:val="32"/>
        </w:rPr>
        <w:t>1496.51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94.19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万元，占0.50%；经营收入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84.26</w:t>
      </w:r>
      <w:r>
        <w:rPr>
          <w:rFonts w:ascii="方正仿宋_GBK" w:hAnsi="方正仿宋_GBK" w:eastAsia="方正仿宋_GBK" w:cs="方正仿宋_GBK"/>
          <w:sz w:val="32"/>
          <w:szCs w:val="32"/>
          <w:shd w:val="clear" w:color="auto" w:fill="FFFFFF"/>
        </w:rPr>
        <w:t>万元，占5.30%。此外，使用非财政拨款结余和专用结余</w:t>
      </w:r>
      <w:r>
        <w:rPr>
          <w:rFonts w:ascii="方正仿宋_GBK" w:hAnsi="方正仿宋_GBK" w:eastAsia="方正仿宋_GBK" w:cs="方正仿宋_GBK"/>
          <w:sz w:val="32"/>
          <w:szCs w:val="32"/>
        </w:rPr>
        <w:t>10.70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1651.73</w:t>
      </w:r>
      <w:r>
        <w:rPr>
          <w:rFonts w:ascii="方正仿宋_GBK" w:hAnsi="方正仿宋_GBK" w:eastAsia="方正仿宋_GBK" w:cs="方正仿宋_GBK"/>
          <w:sz w:val="32"/>
          <w:szCs w:val="32"/>
          <w:shd w:val="clear" w:color="auto" w:fill="FFFFFF"/>
        </w:rPr>
        <w:t>万元，与2023年度相比，减少185.87万元，下降10.11%，主要原因是2023年清算补发以前年度超额绩效和健康休养费。其中：基本支出</w:t>
      </w:r>
      <w:r>
        <w:rPr>
          <w:rFonts w:ascii="方正仿宋_GBK" w:hAnsi="方正仿宋_GBK" w:eastAsia="方正仿宋_GBK" w:cs="方正仿宋_GBK"/>
          <w:sz w:val="32"/>
          <w:szCs w:val="32"/>
        </w:rPr>
        <w:t>1462.70</w:t>
      </w:r>
      <w:r>
        <w:rPr>
          <w:rFonts w:ascii="方正仿宋_GBK" w:hAnsi="方正仿宋_GBK" w:eastAsia="方正仿宋_GBK" w:cs="方正仿宋_GBK"/>
          <w:sz w:val="32"/>
          <w:szCs w:val="32"/>
          <w:shd w:val="clear" w:color="auto" w:fill="FFFFFF"/>
        </w:rPr>
        <w:t>万元，占88.56%；项目支出</w:t>
      </w:r>
      <w:r>
        <w:rPr>
          <w:rFonts w:ascii="方正仿宋_GBK" w:hAnsi="方正仿宋_GBK" w:eastAsia="方正仿宋_GBK" w:cs="方正仿宋_GBK"/>
          <w:sz w:val="32"/>
          <w:szCs w:val="32"/>
        </w:rPr>
        <w:t>189.03</w:t>
      </w:r>
      <w:r>
        <w:rPr>
          <w:rFonts w:ascii="方正仿宋_GBK" w:hAnsi="方正仿宋_GBK" w:eastAsia="方正仿宋_GBK" w:cs="方正仿宋_GBK"/>
          <w:sz w:val="32"/>
          <w:szCs w:val="32"/>
          <w:shd w:val="clear" w:color="auto" w:fill="FFFFFF"/>
        </w:rPr>
        <w:t>万元，占11.44%；经营支出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2.74</w:t>
      </w:r>
      <w:r>
        <w:rPr>
          <w:rFonts w:ascii="方正仿宋_GBK" w:hAnsi="方正仿宋_GBK" w:eastAsia="方正仿宋_GBK" w:cs="方正仿宋_GBK"/>
          <w:sz w:val="32"/>
          <w:szCs w:val="32"/>
          <w:shd w:val="clear" w:color="auto" w:fill="FFFFFF"/>
        </w:rPr>
        <w:t>万元，与2023年度相比，减少52.26万元，下降95.02%，主要原因是2023年</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情系丹乡，点亮教育</w:t>
      </w:r>
      <w:r>
        <w:rPr>
          <w:rFonts w:hint="default" w:ascii="方正仿宋_GBK" w:hAnsi="方正仿宋_GBK" w:eastAsia="方正仿宋_GBK" w:cs="方正仿宋_GBK"/>
          <w:sz w:val="32"/>
          <w:szCs w:val="32"/>
          <w:shd w:val="clear" w:color="auto" w:fill="FFFFFF"/>
        </w:rPr>
        <w:t>”结转的捐赠资金</w:t>
      </w:r>
      <w:r>
        <w:rPr>
          <w:rFonts w:ascii="方正仿宋_GBK" w:hAnsi="方正仿宋_GBK" w:eastAsia="方正仿宋_GBK" w:cs="方正仿宋_GBK"/>
          <w:sz w:val="32"/>
          <w:szCs w:val="32"/>
          <w:shd w:val="clear" w:color="auto" w:fill="FFFFFF"/>
        </w:rPr>
        <w:t>2024年</w:t>
      </w:r>
      <w:r>
        <w:rPr>
          <w:rFonts w:hint="default" w:ascii="方正仿宋_GBK" w:hAnsi="方正仿宋_GBK" w:eastAsia="方正仿宋_GBK" w:cs="方正仿宋_GBK"/>
          <w:sz w:val="32"/>
          <w:szCs w:val="32"/>
          <w:shd w:val="clear" w:color="auto" w:fill="FFFFFF"/>
        </w:rPr>
        <w:t>基本使用完。</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2024年度财政拨款收、支总计1496.51万元。与2023年相比，财政拨款收、支总计各减少187.33万元，下降11.13%。主要原因是2023年清算补发以前年度超额绩效和健康休养费。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1492.51</w:t>
      </w:r>
      <w:r>
        <w:rPr>
          <w:rFonts w:ascii="方正仿宋_GBK" w:hAnsi="方正仿宋_GBK" w:eastAsia="方正仿宋_GBK" w:cs="方正仿宋_GBK"/>
          <w:sz w:val="32"/>
          <w:szCs w:val="32"/>
          <w:shd w:val="clear" w:color="auto" w:fill="FFFFFF"/>
        </w:rPr>
        <w:t>万元，与2023年度相比，减少187.26万元，下降11.15%。主要原因是2023年清算补发以前年度超额绩效和健康休养费。较年初预算数增加139.69万元，增长10.33%。主要原因是正常晋升、岗位晋级、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1492.51</w:t>
      </w:r>
      <w:r>
        <w:rPr>
          <w:rFonts w:ascii="方正仿宋_GBK" w:hAnsi="方正仿宋_GBK" w:eastAsia="方正仿宋_GBK" w:cs="方正仿宋_GBK"/>
          <w:sz w:val="32"/>
          <w:szCs w:val="32"/>
          <w:shd w:val="clear" w:color="auto" w:fill="FFFFFF"/>
        </w:rPr>
        <w:t>万元，与2023年度相比，减少188.35万元，下降11.21%。主要原因是2023年清算补发以前年度超额绩效和健康休养费。较年初预算数增加139.69万元，增长10.33%。主要原因是正常晋升、岗位晋级、超额绩效纳入养老保险和职业年金缴费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997.65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66.84</w:t>
      </w:r>
      <w:r>
        <w:rPr>
          <w:rFonts w:ascii="方正仿宋_GBK" w:hAnsi="方正仿宋_GBK" w:eastAsia="方正仿宋_GBK" w:cs="方正仿宋_GBK"/>
          <w:sz w:val="32"/>
          <w:szCs w:val="32"/>
          <w:shd w:val="clear" w:color="auto" w:fill="FFFFFF"/>
        </w:rPr>
        <w:t>%，较年初预算数增加80.92万元，增长8.83%，主要原因是本年预算执行中因教职工正常晋升、岗位职级变化等人员经费增加所致。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387.01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25.93</w:t>
      </w:r>
      <w:r>
        <w:rPr>
          <w:rFonts w:ascii="方正仿宋_GBK" w:hAnsi="方正仿宋_GBK" w:eastAsia="方正仿宋_GBK" w:cs="方正仿宋_GBK"/>
          <w:sz w:val="32"/>
          <w:szCs w:val="32"/>
          <w:shd w:val="clear" w:color="auto" w:fill="FFFFFF"/>
        </w:rPr>
        <w:t>%，较年初预算数增加63.77万元，增长19.73%，主要原因是本年预算执行中将超额绩效纳入养老保险和职业年金基数增加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49.36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3.31</w:t>
      </w:r>
      <w:r>
        <w:rPr>
          <w:rFonts w:ascii="方正仿宋_GBK" w:hAnsi="方正仿宋_GBK" w:eastAsia="方正仿宋_GBK" w:cs="方正仿宋_GBK"/>
          <w:sz w:val="32"/>
          <w:szCs w:val="32"/>
          <w:shd w:val="clear" w:color="auto" w:fill="FFFFFF"/>
        </w:rPr>
        <w:t>%，较年初预算数减少1.94万元，下降3.78%，主要原因是本年预算执行中因教职工退休减少了缴费基数。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住房保障支出58.49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3.92</w:t>
      </w:r>
      <w:r>
        <w:rPr>
          <w:rFonts w:ascii="方正仿宋_GBK" w:hAnsi="方正仿宋_GBK" w:eastAsia="方正仿宋_GBK" w:cs="方正仿宋_GBK"/>
          <w:sz w:val="32"/>
          <w:szCs w:val="32"/>
          <w:shd w:val="clear" w:color="auto" w:fill="FFFFFF"/>
        </w:rPr>
        <w:t>%，较年初预算数减少3.06万元，下降4.97%，主要原因是本年预算执行中因教职工退休减少了缴费基数。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1364.67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1339.63</w:t>
      </w:r>
      <w:r>
        <w:rPr>
          <w:rFonts w:ascii="方正仿宋_GBK" w:hAnsi="方正仿宋_GBK" w:eastAsia="方正仿宋_GBK" w:cs="方正仿宋_GBK"/>
          <w:sz w:val="32"/>
          <w:szCs w:val="32"/>
          <w:shd w:val="clear" w:color="auto" w:fill="FFFFFF"/>
        </w:rPr>
        <w:t>万元，与2023年度相比，减少163.81万元，下降10.90%，主要原因是2023年清算补发以前年度超额绩效和健康休养费。人员经费用途主要包括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25.04</w:t>
      </w:r>
      <w:r>
        <w:rPr>
          <w:rFonts w:ascii="方正仿宋_GBK" w:hAnsi="方正仿宋_GBK" w:eastAsia="方正仿宋_GBK" w:cs="方正仿宋_GBK"/>
          <w:sz w:val="32"/>
          <w:szCs w:val="32"/>
          <w:shd w:val="clear" w:color="auto" w:fill="FFFFFF"/>
        </w:rPr>
        <w:t>万元，与2023年度相比，减少2.16万元，下降7.94%，主要原因是工会经费、培训费、福利费的预算基数减少。公用经费用途主要包括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万元，与2023年度相比，增加1.01万元，增长33.78%；本年支出</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万元，与2023年度相比，增加1.01万元，增长33.78%，主要原因是乡村少年宫建设项目财政投入增加。</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四、其他需要说明的事项</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3.53</w:t>
      </w:r>
      <w:r>
        <w:rPr>
          <w:rFonts w:ascii="方正仿宋_GBK" w:hAnsi="方正仿宋_GBK" w:eastAsia="方正仿宋_GBK" w:cs="方正仿宋_GBK"/>
          <w:sz w:val="32"/>
          <w:szCs w:val="32"/>
          <w:shd w:val="clear" w:color="auto" w:fill="FFFFFF"/>
        </w:rPr>
        <w:t>万元，与2023年度相比，减少2.97万元，下降45.69%，主要原因是学校压缩公用经费支出，减少了师资队伍的培训</w:t>
      </w:r>
      <w:r>
        <w:rPr>
          <w:rFonts w:hint="eastAsia" w:ascii="方正仿宋_GBK" w:hAnsi="方正仿宋_GBK" w:eastAsia="方正仿宋_GBK" w:cs="方正仿宋_GBK"/>
          <w:sz w:val="32"/>
          <w:szCs w:val="32"/>
          <w:shd w:val="clear" w:color="auto" w:fill="FFFFFF"/>
          <w:lang w:eastAsia="zh-CN"/>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8.69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8.69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个二级项目开展了绩效自评，涉及财政拨款项目支出资金127.84万元。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71465" cy="4872355"/>
            <wp:effectExtent l="0" t="0" r="63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71465" cy="4872355"/>
                    </a:xfrm>
                    <a:prstGeom prst="rect">
                      <a:avLst/>
                    </a:prstGeom>
                    <a:noFill/>
                    <a:ln>
                      <a:noFill/>
                    </a:ln>
                  </pic:spPr>
                </pic:pic>
              </a:graphicData>
            </a:graphic>
          </wp:inline>
        </w:drawing>
      </w:r>
      <w:r>
        <w:t xml:space="preserve"> </w:t>
      </w:r>
      <w:r>
        <w:drawing>
          <wp:inline distT="0" distB="0" distL="114300" distR="114300">
            <wp:extent cx="5407660" cy="4946015"/>
            <wp:effectExtent l="0" t="0" r="254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407660" cy="4946015"/>
                    </a:xfrm>
                    <a:prstGeom prst="rect">
                      <a:avLst/>
                    </a:prstGeom>
                    <a:noFill/>
                    <a:ln>
                      <a:noFill/>
                    </a:ln>
                  </pic:spPr>
                </pic:pic>
              </a:graphicData>
            </a:graphic>
          </wp:inline>
        </w:drawing>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七、决算公开联系方式及信息反馈渠道</w:t>
      </w:r>
    </w:p>
    <w:p>
      <w:pPr>
        <w:pStyle w:val="6"/>
        <w:shd w:val="clear" w:color="auto" w:fill="FFFFFF"/>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rPr>
          <w:rFonts w:ascii="方正黑体_GBK" w:hAnsi="方正仿宋_GBK" w:eastAsia="方正黑体_GBK" w:cs="方正仿宋_GBK"/>
          <w:b/>
          <w:sz w:val="32"/>
          <w:szCs w:val="32"/>
          <w:shd w:val="clear" w:color="auto" w:fill="FFFFFF"/>
        </w:rPr>
      </w:pPr>
      <w:r>
        <w:rPr>
          <w:rFonts w:hint="eastAsia" w:ascii="方正仿宋_GBK" w:eastAsia="方正仿宋_GBK"/>
          <w:sz w:val="32"/>
          <w:szCs w:val="32"/>
        </w:rPr>
        <w:t>邓老师  023-74532919</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垫江县砚台小学校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1,492.51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1,152.87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1,588.77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1,654.47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1,654.47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161" w:type="dxa"/>
        <w:tblInd w:w="0" w:type="dxa"/>
        <w:tblLayout w:type="fixed"/>
        <w:tblCellMar>
          <w:top w:w="0" w:type="dxa"/>
          <w:left w:w="0" w:type="dxa"/>
          <w:bottom w:w="0" w:type="dxa"/>
          <w:right w:w="0" w:type="dxa"/>
        </w:tblCellMar>
      </w:tblPr>
      <w:tblGrid>
        <w:gridCol w:w="1429"/>
        <w:gridCol w:w="3249"/>
        <w:gridCol w:w="1250"/>
        <w:gridCol w:w="1448"/>
        <w:gridCol w:w="1256"/>
        <w:gridCol w:w="1436"/>
        <w:gridCol w:w="1460"/>
        <w:gridCol w:w="1293"/>
        <w:gridCol w:w="1349"/>
        <w:gridCol w:w="991"/>
      </w:tblGrid>
      <w:tr>
        <w:tblPrEx>
          <w:tblLayout w:type="fixed"/>
          <w:tblCellMar>
            <w:top w:w="0" w:type="dxa"/>
            <w:left w:w="0" w:type="dxa"/>
            <w:bottom w:w="0" w:type="dxa"/>
            <w:right w:w="0" w:type="dxa"/>
          </w:tblCellMar>
        </w:tblPrEx>
        <w:trPr>
          <w:trHeight w:val="641" w:hRule="atLeast"/>
        </w:trPr>
        <w:tc>
          <w:tcPr>
            <w:tcW w:w="15161"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垫江县砚台小学校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9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9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46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40" w:hRule="exac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4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6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1,588.77</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1,496.51</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84.26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1,089.91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84.26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84.26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1,087.55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387.01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387.01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垫江县砚台小学校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1,651.73</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1,462.70</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189.03</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1,152.87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968.41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1,150.51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966.05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1,150.51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966.05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387.01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386.43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387.01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386.43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207.44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垫江县砚台小学校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1,492.51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1,496.51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1,492.51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1,496.51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1,492.51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垫江县砚台小学校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1,492.51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1,364.67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870.39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127.26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868.03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127.26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868.03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127.26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386.43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386.43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119.16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207.44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垫江县砚台小学校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1,132.19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179.18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1,339.63</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垫江县砚台小学校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垫江县砚台小学校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垫江县砚台小学校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A4878"/>
    <w:rsid w:val="002B254B"/>
    <w:rsid w:val="0034050A"/>
    <w:rsid w:val="0044504F"/>
    <w:rsid w:val="00466C9B"/>
    <w:rsid w:val="00486CFC"/>
    <w:rsid w:val="0049091C"/>
    <w:rsid w:val="00491DDD"/>
    <w:rsid w:val="00550ABE"/>
    <w:rsid w:val="00623A85"/>
    <w:rsid w:val="00770383"/>
    <w:rsid w:val="007819D4"/>
    <w:rsid w:val="007B419D"/>
    <w:rsid w:val="007B7C4B"/>
    <w:rsid w:val="007D3D39"/>
    <w:rsid w:val="00843B1B"/>
    <w:rsid w:val="00984C6A"/>
    <w:rsid w:val="00994AF7"/>
    <w:rsid w:val="009B67B8"/>
    <w:rsid w:val="009C14C9"/>
    <w:rsid w:val="009D2B67"/>
    <w:rsid w:val="009E1452"/>
    <w:rsid w:val="00A566F9"/>
    <w:rsid w:val="00AF2751"/>
    <w:rsid w:val="00B03CCD"/>
    <w:rsid w:val="00B71A9C"/>
    <w:rsid w:val="00BE2B89"/>
    <w:rsid w:val="00BF0D89"/>
    <w:rsid w:val="00C10E9E"/>
    <w:rsid w:val="00C20C3E"/>
    <w:rsid w:val="00C5163E"/>
    <w:rsid w:val="00CF2ACF"/>
    <w:rsid w:val="00D03AAF"/>
    <w:rsid w:val="00D43886"/>
    <w:rsid w:val="00DA24B3"/>
    <w:rsid w:val="00DD0539"/>
    <w:rsid w:val="00E07662"/>
    <w:rsid w:val="00E368E9"/>
    <w:rsid w:val="00EE1E33"/>
    <w:rsid w:val="00F73F90"/>
    <w:rsid w:val="00FB4B3B"/>
    <w:rsid w:val="00FE679C"/>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4425AB"/>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115A37"/>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23BB0"/>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D978F2"/>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BF7DC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7550</Words>
  <Characters>10131</Characters>
  <Lines>101</Lines>
  <Paragraphs>28</Paragraphs>
  <TotalTime>0</TotalTime>
  <ScaleCrop>false</ScaleCrop>
  <LinksUpToDate>false</LinksUpToDate>
  <CharactersWithSpaces>10916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2025-09-22T08:49:22Z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