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垫江县新民小学校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widowControl w:val="0"/>
        <w:spacing w:line="600" w:lineRule="exact"/>
        <w:ind w:firstLine="640" w:firstLineChars="200"/>
        <w:jc w:val="both"/>
        <w:rPr>
          <w:rFonts w:hint="eastAsia" w:ascii="方正黑体_GBK" w:hAnsi="黑体" w:eastAsia="方正黑体_GBK" w:cs="仿宋_GB2312"/>
          <w:kern w:val="2"/>
          <w:sz w:val="32"/>
          <w:szCs w:val="22"/>
        </w:rPr>
      </w:pPr>
    </w:p>
    <w:p>
      <w:pPr>
        <w:widowControl w:val="0"/>
        <w:spacing w:line="600" w:lineRule="exact"/>
        <w:ind w:firstLine="640" w:firstLineChars="200"/>
        <w:jc w:val="both"/>
        <w:rPr>
          <w:rFonts w:hint="default" w:ascii="方正黑体_GBK" w:hAnsi="黑体" w:eastAsia="方正黑体_GBK" w:cs="仿宋_GB2312"/>
          <w:kern w:val="2"/>
          <w:sz w:val="32"/>
          <w:szCs w:val="22"/>
        </w:rPr>
      </w:pPr>
      <w:r>
        <w:rPr>
          <w:rFonts w:hint="eastAsia" w:ascii="方正黑体_GBK" w:hAnsi="黑体" w:eastAsia="方正黑体_GBK" w:cs="仿宋_GB2312"/>
          <w:kern w:val="2"/>
          <w:sz w:val="32"/>
          <w:szCs w:val="22"/>
        </w:rPr>
        <w:t>一、单位基本情况</w:t>
      </w:r>
    </w:p>
    <w:p>
      <w:pPr>
        <w:spacing w:line="600" w:lineRule="exact"/>
        <w:ind w:firstLine="643" w:firstLineChars="200"/>
        <w:rPr>
          <w:rFonts w:hint="default" w:hAnsi="方正楷体_GBK" w:eastAsia="方正楷体_GBK"/>
          <w:b/>
          <w:sz w:val="32"/>
        </w:rPr>
      </w:pPr>
      <w:r>
        <w:rPr>
          <w:rFonts w:hAnsi="方正楷体_GBK" w:eastAsia="方正楷体_GBK"/>
          <w:b/>
          <w:sz w:val="32"/>
        </w:rPr>
        <w:t>（一）职能职责</w:t>
      </w:r>
    </w:p>
    <w:p>
      <w:pPr>
        <w:spacing w:line="600" w:lineRule="exact"/>
        <w:ind w:firstLine="640" w:firstLineChars="200"/>
        <w:rPr>
          <w:rFonts w:hint="default" w:eastAsia="方正仿宋_GBK"/>
          <w:sz w:val="32"/>
        </w:rPr>
      </w:pPr>
      <w:r>
        <w:rPr>
          <w:rFonts w:eastAsia="方正仿宋_GBK"/>
          <w:sz w:val="32"/>
        </w:rPr>
        <w:t>1．负责辖区适龄儿童义务教育工作；负责辖区学前儿童教育与保育工作。</w:t>
      </w:r>
    </w:p>
    <w:p>
      <w:pPr>
        <w:spacing w:line="600" w:lineRule="exact"/>
        <w:ind w:firstLine="640" w:firstLineChars="200"/>
        <w:rPr>
          <w:rFonts w:hint="default" w:eastAsia="方正仿宋_GBK"/>
          <w:sz w:val="32"/>
        </w:rPr>
      </w:pPr>
      <w:r>
        <w:rPr>
          <w:rFonts w:eastAsia="方正仿宋_GBK"/>
          <w:sz w:val="32"/>
        </w:rPr>
        <w:t>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spacing w:line="600" w:lineRule="exact"/>
        <w:ind w:firstLine="643" w:firstLineChars="200"/>
        <w:rPr>
          <w:rFonts w:eastAsia="方正楷体_GBK"/>
          <w:b/>
          <w:sz w:val="32"/>
        </w:rPr>
      </w:pPr>
      <w:r>
        <w:rPr>
          <w:rFonts w:hAnsi="方正楷体_GBK" w:eastAsia="方正楷体_GBK"/>
          <w:b/>
          <w:sz w:val="32"/>
        </w:rPr>
        <w:t>（二）</w:t>
      </w:r>
      <w:r>
        <w:rPr>
          <w:rFonts w:hint="eastAsia" w:hAnsi="方正楷体_GBK" w:eastAsia="方正楷体_GBK"/>
          <w:b/>
          <w:sz w:val="32"/>
        </w:rPr>
        <w:t>机构设置</w:t>
      </w:r>
    </w:p>
    <w:p>
      <w:pPr>
        <w:spacing w:line="600" w:lineRule="exact"/>
        <w:ind w:firstLine="640" w:firstLineChars="200"/>
        <w:rPr>
          <w:rFonts w:hint="default" w:eastAsia="方正仿宋_GBK"/>
          <w:sz w:val="32"/>
        </w:rPr>
      </w:pPr>
      <w:r>
        <w:rPr>
          <w:rFonts w:eastAsia="方正仿宋_GBK"/>
          <w:sz w:val="32"/>
        </w:rPr>
        <w:t>学校单位领导职数4名(校长1名、副校长3名)，内设机构领导职数4名，内设机构有德育处、教务处、教科处、后勤处。</w:t>
      </w:r>
    </w:p>
    <w:p>
      <w:pPr>
        <w:widowControl w:val="0"/>
        <w:spacing w:line="600" w:lineRule="exact"/>
        <w:ind w:firstLine="640" w:firstLineChars="200"/>
        <w:jc w:val="both"/>
        <w:rPr>
          <w:rFonts w:hint="default" w:ascii="方正黑体_GBK" w:hAnsi="黑体" w:eastAsia="方正黑体_GBK" w:cs="仿宋_GB2312"/>
          <w:kern w:val="2"/>
          <w:sz w:val="32"/>
          <w:szCs w:val="22"/>
        </w:rPr>
      </w:pPr>
      <w:r>
        <w:rPr>
          <w:rFonts w:hint="eastAsia" w:ascii="方正黑体_GBK" w:hAnsi="黑体" w:eastAsia="方正黑体_GBK" w:cs="仿宋_GB2312"/>
          <w:kern w:val="2"/>
          <w:sz w:val="32"/>
          <w:szCs w:val="22"/>
        </w:rPr>
        <w:t>二、单位决算</w:t>
      </w:r>
      <w:r>
        <w:rPr>
          <w:rFonts w:hint="eastAsia" w:ascii="方正黑体_GBK" w:hAnsi="黑体" w:eastAsia="方正黑体_GBK" w:cs="仿宋_GB2312"/>
          <w:kern w:val="2"/>
          <w:sz w:val="32"/>
          <w:szCs w:val="22"/>
          <w:lang w:eastAsia="zh-CN"/>
        </w:rPr>
        <w:t>收支</w:t>
      </w:r>
      <w:r>
        <w:rPr>
          <w:rFonts w:hint="eastAsia" w:ascii="方正黑体_GBK" w:hAnsi="黑体" w:eastAsia="方正黑体_GBK" w:cs="仿宋_GB2312"/>
          <w:kern w:val="2"/>
          <w:sz w:val="32"/>
          <w:szCs w:val="22"/>
        </w:rPr>
        <w:t>情况说明</w:t>
      </w:r>
    </w:p>
    <w:p>
      <w:pPr>
        <w:spacing w:line="600" w:lineRule="exact"/>
        <w:ind w:firstLine="643" w:firstLineChars="200"/>
        <w:rPr>
          <w:rFonts w:hAnsi="方正楷体_GBK" w:eastAsia="方正楷体_GBK"/>
          <w:b/>
          <w:sz w:val="32"/>
        </w:rPr>
      </w:pPr>
      <w:r>
        <w:rPr>
          <w:rFonts w:hint="eastAsia" w:hAnsi="方正楷体_GBK" w:eastAsia="方正楷体_GBK"/>
          <w:b/>
          <w:sz w:val="32"/>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2024年度收入总计4159.11万元，支出总计</w:t>
      </w:r>
      <w:r>
        <w:rPr>
          <w:rFonts w:ascii="方正仿宋_GBK" w:hAnsi="方正仿宋_GBK" w:eastAsia="方正仿宋_GBK" w:cs="方正仿宋_GBK"/>
          <w:sz w:val="32"/>
          <w:szCs w:val="32"/>
        </w:rPr>
        <w:t>4159.11</w:t>
      </w:r>
      <w:r>
        <w:rPr>
          <w:rFonts w:ascii="方正仿宋_GBK" w:hAnsi="方正仿宋_GBK" w:eastAsia="方正仿宋_GBK" w:cs="方正仿宋_GBK"/>
          <w:sz w:val="32"/>
          <w:szCs w:val="32"/>
          <w:shd w:val="clear" w:color="auto" w:fill="FFFFFF"/>
        </w:rPr>
        <w:t>万元。收、支与2023年度相比，减少417.99万元，下降9.13%，主要原因是</w:t>
      </w:r>
      <w:r>
        <w:rPr>
          <w:rFonts w:hint="default" w:ascii="方正仿宋_GBK" w:hAnsi="方正仿宋_GBK" w:eastAsia="方正仿宋_GBK" w:cs="方正仿宋_GBK"/>
          <w:sz w:val="32"/>
          <w:szCs w:val="32"/>
          <w:shd w:val="clear" w:color="auto" w:fill="FFFFFF"/>
        </w:rPr>
        <w:t>2023年清算补发以前年度超额绩效和健康休养费且本年因教师人数减少致人员经费减少，学生人数减少致公用经费及课后延时服务费减少</w:t>
      </w:r>
      <w:r>
        <w:rPr>
          <w:rFonts w:ascii="方正仿宋_GBK" w:hAnsi="方正仿宋_GBK" w:eastAsia="方正仿宋_GBK" w:cs="方正仿宋_GBK"/>
          <w:sz w:val="32"/>
          <w:szCs w:val="32"/>
          <w:shd w:val="clear" w:color="auto" w:fill="FFFFFF"/>
        </w:rPr>
        <w:t>，教学楼维修工程较上年减少</w:t>
      </w:r>
      <w:r>
        <w:rPr>
          <w:rFonts w:hint="default"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2024年度收入合计4124.05万元，与2023年度相比，减少350.35万元，下降7.83%，主要原因是</w:t>
      </w:r>
      <w:r>
        <w:rPr>
          <w:rFonts w:hint="default" w:ascii="方正仿宋_GBK" w:hAnsi="方正仿宋_GBK" w:eastAsia="方正仿宋_GBK" w:cs="方正仿宋_GBK"/>
          <w:sz w:val="32"/>
          <w:szCs w:val="32"/>
          <w:shd w:val="clear" w:color="auto" w:fill="FFFFFF"/>
        </w:rPr>
        <w:t>2023年清算补发以前年度超额绩效和健康休养费且本年因教师人数减少致人员经费减少，学生人数减少致公用经费及课后延时服务费减少</w:t>
      </w:r>
      <w:r>
        <w:rPr>
          <w:rFonts w:ascii="方正仿宋_GBK" w:hAnsi="方正仿宋_GBK" w:eastAsia="方正仿宋_GBK" w:cs="方正仿宋_GBK"/>
          <w:sz w:val="32"/>
          <w:szCs w:val="32"/>
          <w:shd w:val="clear" w:color="auto" w:fill="FFFFFF"/>
        </w:rPr>
        <w:t>，教学楼维修工程较上年减少</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3857.14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93.53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13.00</w:t>
      </w:r>
      <w:r>
        <w:rPr>
          <w:rFonts w:ascii="方正仿宋_GBK" w:hAnsi="方正仿宋_GBK" w:eastAsia="方正仿宋_GBK" w:cs="方正仿宋_GBK"/>
          <w:sz w:val="32"/>
          <w:szCs w:val="32"/>
          <w:shd w:val="clear" w:color="auto" w:fill="FFFFFF"/>
        </w:rPr>
        <w:t>万元，占0.32%；经营收入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253.91</w:t>
      </w:r>
      <w:r>
        <w:rPr>
          <w:rFonts w:ascii="方正仿宋_GBK" w:hAnsi="方正仿宋_GBK" w:eastAsia="方正仿宋_GBK" w:cs="方正仿宋_GBK"/>
          <w:sz w:val="32"/>
          <w:szCs w:val="32"/>
          <w:shd w:val="clear" w:color="auto" w:fill="FFFFFF"/>
        </w:rPr>
        <w:t>万元，占6.16%。此外，使用非财政拨款结余和专用结余</w:t>
      </w:r>
      <w:r>
        <w:rPr>
          <w:rFonts w:ascii="方正仿宋_GBK" w:hAnsi="方正仿宋_GBK" w:eastAsia="方正仿宋_GBK" w:cs="方正仿宋_GBK"/>
          <w:sz w:val="32"/>
          <w:szCs w:val="32"/>
        </w:rPr>
        <w:t>35.07</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4140.11</w:t>
      </w:r>
      <w:r>
        <w:rPr>
          <w:rFonts w:ascii="方正仿宋_GBK" w:hAnsi="方正仿宋_GBK" w:eastAsia="方正仿宋_GBK" w:cs="方正仿宋_GBK"/>
          <w:sz w:val="32"/>
          <w:szCs w:val="32"/>
          <w:shd w:val="clear" w:color="auto" w:fill="FFFFFF"/>
        </w:rPr>
        <w:t>万元，与2023年度相比，减少369.31万元，下降8.19%，主要原因是</w:t>
      </w:r>
      <w:r>
        <w:rPr>
          <w:rFonts w:hint="default" w:ascii="方正仿宋_GBK" w:hAnsi="方正仿宋_GBK" w:eastAsia="方正仿宋_GBK" w:cs="方正仿宋_GBK"/>
          <w:sz w:val="32"/>
          <w:szCs w:val="32"/>
          <w:shd w:val="clear" w:color="auto" w:fill="FFFFFF"/>
        </w:rPr>
        <w:t>2023年清算补发以前年度超额绩效和健康休养费且本年因教师人数减少致人员经费减少，学生人数减少致公用经费及课后延时服务费减少</w:t>
      </w:r>
      <w:r>
        <w:rPr>
          <w:rFonts w:ascii="方正仿宋_GBK" w:hAnsi="方正仿宋_GBK" w:eastAsia="方正仿宋_GBK" w:cs="方正仿宋_GBK"/>
          <w:sz w:val="32"/>
          <w:szCs w:val="32"/>
          <w:shd w:val="clear" w:color="auto" w:fill="FFFFFF"/>
        </w:rPr>
        <w:t>，教学楼维修工程较上年减少</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3907.73</w:t>
      </w:r>
      <w:r>
        <w:rPr>
          <w:rFonts w:ascii="方正仿宋_GBK" w:hAnsi="方正仿宋_GBK" w:eastAsia="方正仿宋_GBK" w:cs="方正仿宋_GBK"/>
          <w:sz w:val="32"/>
          <w:szCs w:val="32"/>
          <w:shd w:val="clear" w:color="auto" w:fill="FFFFFF"/>
        </w:rPr>
        <w:t>万元，占94.39%；项目支出</w:t>
      </w:r>
      <w:r>
        <w:rPr>
          <w:rFonts w:ascii="方正仿宋_GBK" w:hAnsi="方正仿宋_GBK" w:eastAsia="方正仿宋_GBK" w:cs="方正仿宋_GBK"/>
          <w:sz w:val="32"/>
          <w:szCs w:val="32"/>
        </w:rPr>
        <w:t>232.39</w:t>
      </w:r>
      <w:r>
        <w:rPr>
          <w:rFonts w:ascii="方正仿宋_GBK" w:hAnsi="方正仿宋_GBK" w:eastAsia="方正仿宋_GBK" w:cs="方正仿宋_GBK"/>
          <w:sz w:val="32"/>
          <w:szCs w:val="32"/>
          <w:shd w:val="clear" w:color="auto" w:fill="FFFFFF"/>
        </w:rPr>
        <w:t>万元，占5.61%；经营支出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19.00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2023年和2024年均无年末结转和结余。</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2024年度财政拨款收、支总计3857.14万元。与202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年相比，财政拨款收、支总计各减少367.36万元，下降8.70%。主要原因是</w:t>
      </w:r>
      <w:r>
        <w:rPr>
          <w:rFonts w:hint="default" w:ascii="方正仿宋_GBK" w:hAnsi="方正仿宋_GBK" w:eastAsia="方正仿宋_GBK" w:cs="方正仿宋_GBK"/>
          <w:sz w:val="32"/>
          <w:szCs w:val="32"/>
          <w:shd w:val="clear" w:color="auto" w:fill="FFFFFF"/>
        </w:rPr>
        <w:t>2023年清算补发以前年度超额绩效和健康休养费且本年因教师人数减少致人员经费减少，学生人数减少致公用经费及课后延时服务费减少</w:t>
      </w:r>
      <w:r>
        <w:rPr>
          <w:rFonts w:ascii="方正仿宋_GBK" w:hAnsi="方正仿宋_GBK" w:eastAsia="方正仿宋_GBK" w:cs="方正仿宋_GBK"/>
          <w:sz w:val="32"/>
          <w:szCs w:val="32"/>
          <w:shd w:val="clear" w:color="auto" w:fill="FFFFFF"/>
        </w:rPr>
        <w:t>，教学楼维修工程较上年减少</w:t>
      </w:r>
      <w:r>
        <w:rPr>
          <w:rFonts w:hint="default"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（三）一般公共预算财政拨款收入支出决算情况说明</w:t>
      </w:r>
    </w:p>
    <w:p>
      <w:pPr>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3857.14</w:t>
      </w:r>
      <w:r>
        <w:rPr>
          <w:rFonts w:ascii="方正仿宋_GBK" w:hAnsi="方正仿宋_GBK" w:eastAsia="方正仿宋_GBK" w:cs="方正仿宋_GBK"/>
          <w:sz w:val="32"/>
          <w:szCs w:val="32"/>
          <w:shd w:val="clear" w:color="auto" w:fill="FFFFFF"/>
        </w:rPr>
        <w:t>万元，与2023年度相比，减少366.10万元，下降8.67%。主要原因是</w:t>
      </w:r>
      <w:r>
        <w:rPr>
          <w:rFonts w:hint="default" w:ascii="方正仿宋_GBK" w:hAnsi="方正仿宋_GBK" w:eastAsia="方正仿宋_GBK" w:cs="方正仿宋_GBK"/>
          <w:sz w:val="32"/>
          <w:szCs w:val="32"/>
          <w:shd w:val="clear" w:color="auto" w:fill="FFFFFF"/>
        </w:rPr>
        <w:t>2023年清算补发以前年度超额绩效和健康休养费且本年教师人数减少致人员经费减少，学生人数减少致公用经费及课后延时服务费减少</w:t>
      </w:r>
      <w:r>
        <w:rPr>
          <w:rFonts w:ascii="方正仿宋_GBK" w:hAnsi="方正仿宋_GBK" w:eastAsia="方正仿宋_GBK" w:cs="方正仿宋_GBK"/>
          <w:sz w:val="32"/>
          <w:szCs w:val="32"/>
          <w:shd w:val="clear" w:color="auto" w:fill="FFFFFF"/>
        </w:rPr>
        <w:t>，教学楼维修工程较上年减少</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较年初预算数增加462.23万元，增长13.62%。主要原因是本年预算执行中教职工正常晋升、晋岗晋级及</w:t>
      </w:r>
      <w:r>
        <w:rPr>
          <w:rFonts w:ascii="方正仿宋_GBK" w:eastAsia="方正仿宋_GBK"/>
          <w:sz w:val="32"/>
          <w:szCs w:val="32"/>
          <w:shd w:val="clear" w:color="auto" w:fill="FFFFFF"/>
        </w:rPr>
        <w:t>将超额绩效纳入养老保险和职业年金基数</w:t>
      </w:r>
      <w:r>
        <w:rPr>
          <w:rFonts w:ascii="方正仿宋_GBK" w:hAnsi="方正仿宋_GBK" w:eastAsia="方正仿宋_GBK" w:cs="方正仿宋_GBK"/>
          <w:sz w:val="32"/>
          <w:szCs w:val="32"/>
          <w:shd w:val="clear" w:color="auto" w:fill="FFFFFF"/>
        </w:rPr>
        <w:t>等人员经费类基本支出增加。此外，年初财政拨款结转和结余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3857.14</w:t>
      </w:r>
      <w:r>
        <w:rPr>
          <w:rFonts w:ascii="方正仿宋_GBK" w:hAnsi="方正仿宋_GBK" w:eastAsia="方正仿宋_GBK" w:cs="方正仿宋_GBK"/>
          <w:sz w:val="32"/>
          <w:szCs w:val="32"/>
          <w:shd w:val="clear" w:color="auto" w:fill="FFFFFF"/>
        </w:rPr>
        <w:t>万元，与2023年度相比，减少367.36万元，下降8.70%。</w:t>
      </w:r>
      <w:r>
        <w:rPr>
          <w:rFonts w:ascii="方正仿宋_GBK" w:eastAsia="方正仿宋_GBK"/>
          <w:sz w:val="32"/>
          <w:szCs w:val="32"/>
          <w:shd w:val="clear" w:color="auto" w:fill="FFFFFF"/>
        </w:rPr>
        <w:t>主要原因是2023年清算补发以前年度超额绩效和健康休养费且本年因教师人数减少致人员经费减少，学生人数减少致公用经费减少。</w:t>
      </w:r>
      <w:r>
        <w:rPr>
          <w:rFonts w:ascii="方正仿宋_GBK" w:hAnsi="方正仿宋_GBK" w:eastAsia="方正仿宋_GBK" w:cs="方正仿宋_GBK"/>
          <w:sz w:val="32"/>
          <w:szCs w:val="32"/>
          <w:shd w:val="clear" w:color="auto" w:fill="FFFFFF"/>
        </w:rPr>
        <w:t>较年初预算数增加462.23万元，增长13.62%。</w:t>
      </w:r>
      <w:r>
        <w:rPr>
          <w:rFonts w:ascii="方正仿宋_GBK" w:eastAsia="方正仿宋_GBK"/>
          <w:sz w:val="32"/>
          <w:szCs w:val="32"/>
          <w:shd w:val="clear" w:color="auto" w:fill="FFFFFF"/>
        </w:rPr>
        <w:t>主要原因是本年预算执行中教职工正常晋升、晋岗晋级及将超额绩效纳入养老保险和职业年金基数等人员经费类基本支出增加。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万元，与2023年度相比，无增减，主要原因是本单位本年末无一般公共预算财政拨款结转和结余。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2649.44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68.69</w:t>
      </w:r>
      <w:r>
        <w:rPr>
          <w:rFonts w:ascii="方正仿宋_GBK" w:hAnsi="方正仿宋_GBK" w:eastAsia="方正仿宋_GBK" w:cs="方正仿宋_GBK"/>
          <w:sz w:val="32"/>
          <w:szCs w:val="32"/>
          <w:shd w:val="clear" w:color="auto" w:fill="FFFFFF"/>
        </w:rPr>
        <w:t>%，较年初预算数增加282.84万元，增长11.95%</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主要原因是教职工正常晋升、晋岗晋级等人员经费类基本支出增加</w:t>
      </w:r>
      <w:r>
        <w:rPr>
          <w:rFonts w:hint="eastAsia" w:ascii="方正仿宋_GBK" w:hAnsi="方正仿宋_GBK" w:eastAsia="方正仿宋_GBK" w:cs="方正仿宋_GBK"/>
          <w:sz w:val="32"/>
          <w:szCs w:val="32"/>
          <w:shd w:val="clear" w:color="auto" w:fill="FFFFFF"/>
          <w:lang w:eastAsia="zh-CN"/>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902.46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23.40</w:t>
      </w:r>
      <w:r>
        <w:rPr>
          <w:rFonts w:ascii="方正仿宋_GBK" w:hAnsi="方正仿宋_GBK" w:eastAsia="方正仿宋_GBK" w:cs="方正仿宋_GBK"/>
          <w:sz w:val="32"/>
          <w:szCs w:val="32"/>
          <w:shd w:val="clear" w:color="auto" w:fill="FFFFFF"/>
        </w:rPr>
        <w:t>%，较年初预算数增加177.06万元，增长24.41%，主要原因是本年度预算执行中将超额绩效纳入养老保险和职业年金基数</w:t>
      </w:r>
      <w:r>
        <w:rPr>
          <w:rFonts w:hint="eastAsia" w:ascii="方正仿宋_GBK" w:hAnsi="方正仿宋_GBK" w:eastAsia="方正仿宋_GBK" w:cs="方正仿宋_GBK"/>
          <w:sz w:val="32"/>
          <w:szCs w:val="32"/>
          <w:shd w:val="clear" w:color="auto" w:fill="FFFFFF"/>
          <w:lang w:val="en-US" w:eastAsia="zh-CN"/>
        </w:rPr>
        <w:t>导</w:t>
      </w:r>
      <w:r>
        <w:rPr>
          <w:rFonts w:ascii="方正仿宋_GBK" w:hAnsi="方正仿宋_GBK" w:eastAsia="方正仿宋_GBK" w:cs="方正仿宋_GBK"/>
          <w:sz w:val="32"/>
          <w:szCs w:val="32"/>
          <w:shd w:val="clear" w:color="auto" w:fill="FFFFFF"/>
        </w:rPr>
        <w:t>致社会保障与就业支出增加调整年初预算。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139.04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3.60</w:t>
      </w:r>
      <w:r>
        <w:rPr>
          <w:rFonts w:ascii="方正仿宋_GBK" w:hAnsi="方正仿宋_GBK" w:eastAsia="方正仿宋_GBK" w:cs="方正仿宋_GBK"/>
          <w:sz w:val="32"/>
          <w:szCs w:val="32"/>
          <w:shd w:val="clear" w:color="auto" w:fill="FFFFFF"/>
        </w:rPr>
        <w:t>%，较年初预算数增加1.35万元，增长0.98%，主要原因是本年度预算执行中基数调整致医疗保险支出增加调整年初预算。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住房保障支出166.20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4.31</w:t>
      </w:r>
      <w:r>
        <w:rPr>
          <w:rFonts w:ascii="方正仿宋_GBK" w:hAnsi="方正仿宋_GBK" w:eastAsia="方正仿宋_GBK" w:cs="方正仿宋_GBK"/>
          <w:sz w:val="32"/>
          <w:szCs w:val="32"/>
          <w:shd w:val="clear" w:color="auto" w:fill="FFFFFF"/>
        </w:rPr>
        <w:t>%，较年初预算数增加0.97万元，增长0.59%，主要原因是本年度预算执行中教职工基数调整致住房保障支出增加调整年初预算。</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（四）一般公共预算财政拨款基本支出决算情况说明</w:t>
      </w:r>
    </w:p>
    <w:p>
      <w:pPr>
        <w:ind w:firstLine="640" w:firstLineChars="200"/>
        <w:rPr>
          <w:rFonts w:hint="default"/>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3636.23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3571.81</w:t>
      </w:r>
      <w:r>
        <w:rPr>
          <w:rFonts w:ascii="方正仿宋_GBK" w:hAnsi="方正仿宋_GBK" w:eastAsia="方正仿宋_GBK" w:cs="方正仿宋_GBK"/>
          <w:sz w:val="32"/>
          <w:szCs w:val="32"/>
          <w:shd w:val="clear" w:color="auto" w:fill="FFFFFF"/>
        </w:rPr>
        <w:t>万元，与2023年度相比，减少314.21万元，下降8.09%，</w:t>
      </w:r>
      <w:r>
        <w:rPr>
          <w:rFonts w:ascii="方正仿宋_GBK" w:eastAsia="方正仿宋_GBK"/>
          <w:sz w:val="32"/>
          <w:szCs w:val="32"/>
          <w:shd w:val="clear" w:color="auto" w:fill="FFFFFF"/>
        </w:rPr>
        <w:t>主要原因是2023年清算补发以前年度超额绩效和健康休养费且本年因教师人数减少致人员经费减少。</w:t>
      </w:r>
      <w:r>
        <w:rPr>
          <w:rFonts w:ascii="方正仿宋_GBK" w:eastAsia="方正仿宋_GBK"/>
          <w:color w:val="000000"/>
          <w:sz w:val="32"/>
          <w:szCs w:val="32"/>
        </w:rPr>
        <w:t>人员经费用途主要包括教师统发工资、绩效工资、社会保障和就业支出、医疗卫生支出和住房保障支出。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64.42</w:t>
      </w:r>
      <w:r>
        <w:rPr>
          <w:rFonts w:ascii="方正仿宋_GBK" w:hAnsi="方正仿宋_GBK" w:eastAsia="方正仿宋_GBK" w:cs="方正仿宋_GBK"/>
          <w:sz w:val="32"/>
          <w:szCs w:val="32"/>
          <w:shd w:val="clear" w:color="auto" w:fill="FFFFFF"/>
        </w:rPr>
        <w:t>万元，与2023年度相比，减少5.10万元，下降7.34%，主要原因是本年因学生人数减少致公用经费下降。公用经费用途主要包括学校正常运行的</w:t>
      </w:r>
      <w:r>
        <w:rPr>
          <w:rFonts w:hint="eastAsia" w:ascii="方正仿宋_GBK" w:hAnsi="方正仿宋_GBK" w:eastAsia="方正仿宋_GBK" w:cs="方正仿宋_GBK"/>
          <w:sz w:val="32"/>
          <w:szCs w:val="32"/>
          <w:shd w:val="clear" w:color="auto" w:fill="FFFFFF"/>
          <w:lang w:eastAsia="zh-CN"/>
        </w:rPr>
        <w:t>培训费、工会经费及福利费</w:t>
      </w:r>
      <w:r>
        <w:rPr>
          <w:rFonts w:ascii="方正仿宋_GBK" w:hAnsi="方正仿宋_GBK" w:eastAsia="方正仿宋_GBK" w:cs="方正仿宋_GBK"/>
          <w:sz w:val="32"/>
          <w:szCs w:val="32"/>
          <w:shd w:val="clear" w:color="auto" w:fill="FFFFFF"/>
        </w:rPr>
        <w:t>等支出。</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w:t>
      </w:r>
      <w:r>
        <w:rPr>
          <w:rFonts w:hint="default" w:ascii="方正仿宋_GBK" w:hAnsi="方正仿宋_GBK" w:eastAsia="方正仿宋_GBK" w:cs="方正仿宋_GBK"/>
          <w:sz w:val="32"/>
          <w:szCs w:val="32"/>
          <w:shd w:val="clear" w:color="auto" w:fill="FFFFFF"/>
        </w:rPr>
        <w:t>2024年度无政府性基金预算财政拨款收支。</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w:t>
      </w:r>
      <w:r>
        <w:rPr>
          <w:rFonts w:hint="default" w:ascii="方正仿宋_GBK" w:hAnsi="方正仿宋_GBK" w:eastAsia="方正仿宋_GBK" w:cs="方正仿宋_GBK"/>
          <w:sz w:val="32"/>
          <w:szCs w:val="32"/>
          <w:shd w:val="clear" w:color="auto" w:fill="FFFFFF"/>
        </w:rPr>
        <w:t>2024年度无政府性基金预算财政拨款收支。</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（六）国有资本经营预算财政拨款支出决算情况说明</w:t>
      </w:r>
    </w:p>
    <w:p>
      <w:pPr>
        <w:pStyle w:val="6"/>
        <w:autoSpaceDE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eastAsia="方正仿宋_GBK"/>
          <w:sz w:val="32"/>
          <w:szCs w:val="32"/>
          <w:shd w:val="clear" w:color="auto" w:fill="FFFFFF"/>
        </w:rPr>
        <w:t>2024年度国有资本经营预算财政拨</w:t>
      </w:r>
      <w:r>
        <w:rPr>
          <w:rFonts w:hint="eastAsia" w:ascii="方正仿宋_GBK" w:eastAsia="方正仿宋_GBK"/>
          <w:sz w:val="32"/>
          <w:szCs w:val="32"/>
          <w:shd w:val="clear" w:color="auto" w:fill="FFFFFF"/>
          <w:lang w:val="en-US" w:eastAsia="zh-CN"/>
        </w:rPr>
        <w:t>款</w:t>
      </w:r>
      <w:r>
        <w:rPr>
          <w:rFonts w:ascii="方正仿宋_GBK" w:eastAsia="方正仿宋_GBK"/>
          <w:sz w:val="32"/>
          <w:szCs w:val="32"/>
          <w:shd w:val="clear" w:color="auto" w:fill="FFFFFF"/>
        </w:rPr>
        <w:t>本年支出</w:t>
      </w:r>
      <w:r>
        <w:rPr>
          <w:rFonts w:ascii="方正仿宋_GBK" w:eastAsia="方正仿宋_GBK"/>
          <w:sz w:val="32"/>
          <w:szCs w:val="32"/>
        </w:rPr>
        <w:t>0.00</w:t>
      </w:r>
      <w:r>
        <w:rPr>
          <w:rFonts w:ascii="方正仿宋_GBK" w:eastAsia="方正仿宋_GBK"/>
          <w:sz w:val="32"/>
          <w:szCs w:val="32"/>
          <w:shd w:val="clear" w:color="auto" w:fill="FFFFFF"/>
        </w:rPr>
        <w:t>万元，基本支出</w:t>
      </w:r>
      <w:r>
        <w:rPr>
          <w:rFonts w:ascii="方正仿宋_GBK" w:eastAsia="方正仿宋_GBK"/>
          <w:sz w:val="32"/>
          <w:szCs w:val="32"/>
        </w:rPr>
        <w:t>0.00</w:t>
      </w:r>
      <w:r>
        <w:rPr>
          <w:rFonts w:ascii="方正仿宋_GBK" w:eastAsia="方正仿宋_GBK"/>
          <w:sz w:val="32"/>
          <w:szCs w:val="32"/>
          <w:shd w:val="clear" w:color="auto" w:fill="FFFFFF"/>
        </w:rPr>
        <w:t>万元，项目支出</w:t>
      </w:r>
      <w:r>
        <w:rPr>
          <w:rFonts w:ascii="方正仿宋_GBK" w:eastAsia="方正仿宋_GBK"/>
          <w:sz w:val="32"/>
          <w:szCs w:val="32"/>
        </w:rPr>
        <w:t>0.00</w:t>
      </w:r>
      <w:r>
        <w:rPr>
          <w:rFonts w:ascii="方正仿宋_GBK" w:eastAsia="方正仿宋_GBK"/>
          <w:sz w:val="32"/>
          <w:szCs w:val="32"/>
          <w:shd w:val="clear" w:color="auto" w:fill="FFFFFF"/>
        </w:rPr>
        <w:t>万元。本单位2024年度无国有资本经营预算财政拨款支出。</w:t>
      </w:r>
    </w:p>
    <w:p>
      <w:pPr>
        <w:widowControl w:val="0"/>
        <w:spacing w:line="600" w:lineRule="exact"/>
        <w:ind w:firstLine="640" w:firstLineChars="200"/>
        <w:jc w:val="both"/>
        <w:rPr>
          <w:rFonts w:hint="default" w:ascii="方正黑体_GBK" w:hAnsi="黑体" w:eastAsia="方正黑体_GBK" w:cs="仿宋_GB2312"/>
          <w:kern w:val="2"/>
          <w:sz w:val="32"/>
          <w:szCs w:val="22"/>
        </w:rPr>
      </w:pPr>
      <w:r>
        <w:rPr>
          <w:rFonts w:hint="eastAsia" w:ascii="方正黑体_GBK" w:hAnsi="黑体" w:eastAsia="方正黑体_GBK" w:cs="仿宋_GB2312"/>
          <w:kern w:val="2"/>
          <w:sz w:val="32"/>
          <w:szCs w:val="22"/>
        </w:rPr>
        <w:t>三、</w:t>
      </w:r>
      <w:r>
        <w:rPr>
          <w:rFonts w:hint="eastAsia" w:ascii="方正黑体_GBK" w:hAnsi="黑体" w:eastAsia="方正黑体_GBK" w:cs="仿宋_GB2312"/>
          <w:kern w:val="2"/>
          <w:sz w:val="32"/>
          <w:szCs w:val="22"/>
          <w:lang w:eastAsia="zh-CN"/>
        </w:rPr>
        <w:t>财政拨款</w:t>
      </w:r>
      <w:r>
        <w:rPr>
          <w:rFonts w:hint="eastAsia" w:ascii="方正黑体_GBK" w:hAnsi="黑体" w:eastAsia="方正黑体_GBK" w:cs="仿宋_GB2312"/>
          <w:kern w:val="2"/>
          <w:sz w:val="32"/>
          <w:szCs w:val="22"/>
        </w:rPr>
        <w:t>“三公”经费情况说明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（一）“三公”经费支出总体情况说明</w:t>
      </w:r>
    </w:p>
    <w:p>
      <w:pPr>
        <w:autoSpaceDE w:val="0"/>
        <w:spacing w:line="600" w:lineRule="exact"/>
        <w:ind w:firstLine="640" w:firstLineChars="200"/>
        <w:rPr>
          <w:rFonts w:hint="default" w:ascii="方正仿宋_GBK" w:eastAsia="方正仿宋_GBK"/>
          <w:sz w:val="32"/>
          <w:szCs w:val="32"/>
        </w:rPr>
      </w:pPr>
      <w:r>
        <w:rPr>
          <w:rFonts w:ascii="方正仿宋_GBK" w:eastAsia="方正仿宋_GBK"/>
          <w:sz w:val="32"/>
          <w:szCs w:val="32"/>
          <w:shd w:val="clear" w:color="auto" w:fill="FFFFFF"/>
        </w:rPr>
        <w:t>2024年度“三公”经费支出共计</w:t>
      </w:r>
      <w:r>
        <w:rPr>
          <w:rFonts w:ascii="方正仿宋_GBK" w:eastAsia="方正仿宋_GBK"/>
          <w:sz w:val="32"/>
          <w:szCs w:val="32"/>
        </w:rPr>
        <w:t>0.00</w:t>
      </w:r>
      <w:r>
        <w:rPr>
          <w:rFonts w:ascii="方正仿宋_GBK" w:eastAsia="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eastAsia="方正仿宋_GBK"/>
          <w:sz w:val="32"/>
          <w:szCs w:val="32"/>
          <w:shd w:val="clear" w:color="auto" w:fill="FFFFFF"/>
        </w:rPr>
        <w:t>未安排“三公”</w:t>
      </w:r>
      <w:r>
        <w:rPr>
          <w:rFonts w:ascii="方正仿宋_GBK" w:eastAsia="方正仿宋_GBK"/>
          <w:sz w:val="32"/>
          <w:szCs w:val="32"/>
        </w:rPr>
        <w:t>经费支出。</w:t>
      </w:r>
      <w:r>
        <w:rPr>
          <w:rFonts w:ascii="方正仿宋_GBK" w:eastAsia="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（二）“三公”经费分项支出情况</w:t>
      </w:r>
    </w:p>
    <w:p>
      <w:pPr>
        <w:pStyle w:val="6"/>
        <w:autoSpaceDE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eastAsia="方正仿宋_GBK"/>
          <w:sz w:val="32"/>
          <w:szCs w:val="32"/>
          <w:shd w:val="clear" w:color="auto" w:fill="FFFFFF"/>
        </w:rPr>
        <w:t>2024年度本单位因公出国（境）费用</w:t>
      </w:r>
      <w:r>
        <w:rPr>
          <w:rFonts w:ascii="方正仿宋_GBK" w:eastAsia="方正仿宋_GBK"/>
          <w:sz w:val="32"/>
          <w:szCs w:val="32"/>
        </w:rPr>
        <w:t>0.00</w:t>
      </w:r>
      <w:r>
        <w:rPr>
          <w:rFonts w:ascii="方正仿宋_GBK" w:eastAsia="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eastAsia="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autoSpaceDE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eastAsia="方正仿宋_GBK"/>
          <w:sz w:val="32"/>
          <w:szCs w:val="32"/>
          <w:shd w:val="clear" w:color="auto" w:fill="FFFFFF"/>
        </w:rPr>
        <w:t>公务车购置费</w:t>
      </w:r>
      <w:r>
        <w:rPr>
          <w:rFonts w:ascii="方正仿宋_GBK" w:eastAsia="方正仿宋_GBK"/>
          <w:sz w:val="32"/>
          <w:szCs w:val="32"/>
        </w:rPr>
        <w:t>0.00</w:t>
      </w:r>
      <w:r>
        <w:rPr>
          <w:rFonts w:ascii="方正仿宋_GBK" w:eastAsia="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eastAsia="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autoSpaceDE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eastAsia="方正仿宋_GBK"/>
          <w:sz w:val="32"/>
          <w:szCs w:val="32"/>
          <w:shd w:val="clear" w:color="auto" w:fill="FFFFFF"/>
        </w:rPr>
        <w:t>公务</w:t>
      </w:r>
      <w:r>
        <w:rPr>
          <w:rFonts w:hint="eastAsia" w:ascii="方正仿宋_GBK" w:eastAsia="方正仿宋_GBK"/>
          <w:sz w:val="32"/>
          <w:szCs w:val="32"/>
          <w:shd w:val="clear" w:color="auto" w:fill="FFFFFF"/>
          <w:lang w:val="en-US" w:eastAsia="zh-CN"/>
        </w:rPr>
        <w:t>用</w:t>
      </w:r>
      <w:r>
        <w:rPr>
          <w:rFonts w:ascii="方正仿宋_GBK" w:eastAsia="方正仿宋_GBK"/>
          <w:sz w:val="32"/>
          <w:szCs w:val="32"/>
          <w:shd w:val="clear" w:color="auto" w:fill="FFFFFF"/>
        </w:rPr>
        <w:t>车运行维护费</w:t>
      </w:r>
      <w:r>
        <w:rPr>
          <w:rFonts w:ascii="方正仿宋_GBK" w:eastAsia="方正仿宋_GBK"/>
          <w:sz w:val="32"/>
          <w:szCs w:val="32"/>
        </w:rPr>
        <w:t>0.00</w:t>
      </w:r>
      <w:r>
        <w:rPr>
          <w:rFonts w:ascii="方正仿宋_GBK" w:eastAsia="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eastAsia="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autoSpaceDE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eastAsia="方正仿宋_GBK"/>
          <w:sz w:val="32"/>
          <w:szCs w:val="32"/>
          <w:shd w:val="clear" w:color="auto" w:fill="FFFFFF"/>
        </w:rPr>
        <w:t>公务接待费</w:t>
      </w:r>
      <w:r>
        <w:rPr>
          <w:rFonts w:ascii="方正仿宋_GBK" w:eastAsia="方正仿宋_GBK"/>
          <w:sz w:val="32"/>
          <w:szCs w:val="32"/>
        </w:rPr>
        <w:t>0.00</w:t>
      </w:r>
      <w:r>
        <w:rPr>
          <w:rFonts w:ascii="方正仿宋_GBK" w:eastAsia="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eastAsia="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（三）“三公”经费实物量情况</w:t>
      </w:r>
    </w:p>
    <w:p>
      <w:pPr>
        <w:autoSpaceDE w:val="0"/>
        <w:spacing w:line="600" w:lineRule="exact"/>
        <w:ind w:firstLine="640" w:firstLineChars="200"/>
        <w:rPr>
          <w:rFonts w:hint="default" w:ascii="方正仿宋_GBK" w:eastAsia="方正仿宋_GBK"/>
          <w:sz w:val="32"/>
          <w:szCs w:val="32"/>
          <w:shd w:val="clear" w:color="auto" w:fill="FFFFFF"/>
        </w:rPr>
      </w:pPr>
      <w:r>
        <w:rPr>
          <w:rFonts w:ascii="方正仿宋_GBK" w:eastAsia="方正仿宋_GBK"/>
          <w:sz w:val="32"/>
          <w:szCs w:val="32"/>
          <w:shd w:val="clear" w:color="auto" w:fill="FFFFFF"/>
        </w:rPr>
        <w:t>2024年度本单位因公出国（境）共计</w:t>
      </w:r>
      <w:r>
        <w:rPr>
          <w:rFonts w:ascii="方正仿宋_GBK" w:eastAsia="方正仿宋_GBK"/>
          <w:sz w:val="32"/>
          <w:szCs w:val="32"/>
        </w:rPr>
        <w:t>0</w:t>
      </w:r>
      <w:r>
        <w:rPr>
          <w:rFonts w:ascii="方正仿宋_GBK" w:eastAsia="方正仿宋_GBK"/>
          <w:sz w:val="32"/>
          <w:szCs w:val="32"/>
          <w:shd w:val="clear" w:color="auto" w:fill="FFFFFF"/>
        </w:rPr>
        <w:t>个团组，</w:t>
      </w:r>
      <w:r>
        <w:rPr>
          <w:rFonts w:ascii="方正仿宋_GBK" w:eastAsia="方正仿宋_GBK"/>
          <w:sz w:val="32"/>
          <w:szCs w:val="32"/>
        </w:rPr>
        <w:t>0</w:t>
      </w:r>
      <w:r>
        <w:rPr>
          <w:rFonts w:ascii="方正仿宋_GBK" w:eastAsia="方正仿宋_GBK"/>
          <w:sz w:val="32"/>
          <w:szCs w:val="32"/>
          <w:shd w:val="clear" w:color="auto" w:fill="FFFFFF"/>
        </w:rPr>
        <w:t>人；公务用车购置</w:t>
      </w:r>
      <w:r>
        <w:rPr>
          <w:rFonts w:ascii="方正仿宋_GBK" w:eastAsia="方正仿宋_GBK"/>
          <w:sz w:val="32"/>
          <w:szCs w:val="32"/>
        </w:rPr>
        <w:t>0</w:t>
      </w:r>
      <w:r>
        <w:rPr>
          <w:rFonts w:ascii="方正仿宋_GBK" w:eastAsia="方正仿宋_GBK"/>
          <w:sz w:val="32"/>
          <w:szCs w:val="32"/>
          <w:shd w:val="clear" w:color="auto" w:fill="FFFFFF"/>
        </w:rPr>
        <w:t>辆，公务车保有量为</w:t>
      </w:r>
      <w:r>
        <w:rPr>
          <w:rFonts w:ascii="方正仿宋_GBK" w:eastAsia="方正仿宋_GBK"/>
          <w:sz w:val="32"/>
          <w:szCs w:val="32"/>
        </w:rPr>
        <w:t>0</w:t>
      </w:r>
      <w:r>
        <w:rPr>
          <w:rFonts w:ascii="方正仿宋_GBK" w:eastAsia="方正仿宋_GBK"/>
          <w:sz w:val="32"/>
          <w:szCs w:val="32"/>
          <w:shd w:val="clear" w:color="auto" w:fill="FFFFFF"/>
        </w:rPr>
        <w:t>辆；国内公务接待</w:t>
      </w:r>
      <w:r>
        <w:rPr>
          <w:rFonts w:ascii="方正仿宋_GBK" w:eastAsia="方正仿宋_GBK"/>
          <w:sz w:val="32"/>
          <w:szCs w:val="32"/>
        </w:rPr>
        <w:t>0</w:t>
      </w:r>
      <w:r>
        <w:rPr>
          <w:rFonts w:ascii="方正仿宋_GBK" w:eastAsia="方正仿宋_GBK"/>
          <w:sz w:val="32"/>
          <w:szCs w:val="32"/>
          <w:shd w:val="clear" w:color="auto" w:fill="FFFFFF"/>
        </w:rPr>
        <w:t>批次</w:t>
      </w:r>
      <w:r>
        <w:rPr>
          <w:rFonts w:ascii="方正仿宋_GBK" w:eastAsia="方正仿宋_GBK"/>
          <w:sz w:val="32"/>
          <w:szCs w:val="32"/>
        </w:rPr>
        <w:t>0</w:t>
      </w:r>
      <w:r>
        <w:rPr>
          <w:rFonts w:ascii="方正仿宋_GBK" w:eastAsia="方正仿宋_GBK"/>
          <w:sz w:val="32"/>
          <w:szCs w:val="32"/>
          <w:shd w:val="clear" w:color="auto" w:fill="FFFFFF"/>
        </w:rPr>
        <w:t>人，其中：国内外事接待</w:t>
      </w:r>
      <w:r>
        <w:rPr>
          <w:rFonts w:ascii="方正仿宋_GBK" w:eastAsia="方正仿宋_GBK"/>
          <w:sz w:val="32"/>
          <w:szCs w:val="32"/>
        </w:rPr>
        <w:t>0</w:t>
      </w:r>
      <w:r>
        <w:rPr>
          <w:rFonts w:ascii="方正仿宋_GBK" w:eastAsia="方正仿宋_GBK"/>
          <w:sz w:val="32"/>
          <w:szCs w:val="32"/>
          <w:shd w:val="clear" w:color="auto" w:fill="FFFFFF"/>
        </w:rPr>
        <w:t>批次，</w:t>
      </w:r>
      <w:r>
        <w:rPr>
          <w:rFonts w:ascii="方正仿宋_GBK" w:eastAsia="方正仿宋_GBK"/>
          <w:sz w:val="32"/>
          <w:szCs w:val="32"/>
        </w:rPr>
        <w:t>0</w:t>
      </w:r>
      <w:r>
        <w:rPr>
          <w:rFonts w:ascii="方正仿宋_GBK" w:eastAsia="方正仿宋_GBK"/>
          <w:sz w:val="32"/>
          <w:szCs w:val="32"/>
          <w:shd w:val="clear" w:color="auto" w:fill="FFFFFF"/>
        </w:rPr>
        <w:t>人；国（境）外公务接待</w:t>
      </w:r>
      <w:r>
        <w:rPr>
          <w:rFonts w:ascii="方正仿宋_GBK" w:eastAsia="方正仿宋_GBK"/>
          <w:sz w:val="32"/>
          <w:szCs w:val="32"/>
        </w:rPr>
        <w:t>0</w:t>
      </w:r>
      <w:r>
        <w:rPr>
          <w:rFonts w:ascii="方正仿宋_GBK" w:eastAsia="方正仿宋_GBK"/>
          <w:sz w:val="32"/>
          <w:szCs w:val="32"/>
          <w:shd w:val="clear" w:color="auto" w:fill="FFFFFF"/>
        </w:rPr>
        <w:t>批次，</w:t>
      </w:r>
      <w:r>
        <w:rPr>
          <w:rFonts w:ascii="方正仿宋_GBK" w:eastAsia="方正仿宋_GBK"/>
          <w:sz w:val="32"/>
          <w:szCs w:val="32"/>
        </w:rPr>
        <w:t>0</w:t>
      </w:r>
      <w:r>
        <w:rPr>
          <w:rFonts w:ascii="方正仿宋_GBK" w:eastAsia="方正仿宋_GBK"/>
          <w:sz w:val="32"/>
          <w:szCs w:val="32"/>
          <w:shd w:val="clear" w:color="auto" w:fill="FFFFFF"/>
        </w:rPr>
        <w:t>人。2024年本单位人均接待费</w:t>
      </w:r>
      <w:r>
        <w:rPr>
          <w:rFonts w:ascii="方正仿宋_GBK" w:eastAsia="方正仿宋_GBK"/>
          <w:sz w:val="32"/>
          <w:szCs w:val="32"/>
        </w:rPr>
        <w:t>0</w:t>
      </w:r>
      <w:r>
        <w:rPr>
          <w:rFonts w:ascii="方正仿宋_GBK" w:eastAsia="方正仿宋_GBK"/>
          <w:sz w:val="32"/>
          <w:szCs w:val="32"/>
          <w:shd w:val="clear" w:color="auto" w:fill="FFFFFF"/>
        </w:rPr>
        <w:t>元，车均购置费</w:t>
      </w:r>
      <w:r>
        <w:rPr>
          <w:rFonts w:ascii="方正仿宋_GBK" w:eastAsia="方正仿宋_GBK"/>
          <w:sz w:val="32"/>
          <w:szCs w:val="32"/>
        </w:rPr>
        <w:t>0</w:t>
      </w:r>
      <w:r>
        <w:rPr>
          <w:rFonts w:ascii="方正仿宋_GBK" w:eastAsia="方正仿宋_GBK"/>
          <w:sz w:val="32"/>
          <w:szCs w:val="32"/>
          <w:shd w:val="clear" w:color="auto" w:fill="FFFFFF"/>
        </w:rPr>
        <w:t>万元，车均维护费</w:t>
      </w:r>
      <w:r>
        <w:rPr>
          <w:rFonts w:ascii="方正仿宋_GBK" w:eastAsia="方正仿宋_GBK"/>
          <w:sz w:val="32"/>
          <w:szCs w:val="32"/>
        </w:rPr>
        <w:t>0</w:t>
      </w:r>
      <w:r>
        <w:rPr>
          <w:rFonts w:ascii="方正仿宋_GBK" w:eastAsia="方正仿宋_GBK"/>
          <w:sz w:val="32"/>
          <w:szCs w:val="32"/>
          <w:shd w:val="clear" w:color="auto" w:fill="FFFFFF"/>
        </w:rPr>
        <w:t>万元。</w:t>
      </w:r>
    </w:p>
    <w:p>
      <w:pPr>
        <w:widowControl w:val="0"/>
        <w:spacing w:line="600" w:lineRule="exact"/>
        <w:ind w:firstLine="640" w:firstLineChars="200"/>
        <w:jc w:val="both"/>
        <w:rPr>
          <w:rFonts w:hint="default" w:ascii="方正黑体_GBK" w:hAnsi="黑体" w:eastAsia="方正黑体_GBK" w:cs="仿宋_GB2312"/>
          <w:kern w:val="2"/>
          <w:sz w:val="32"/>
          <w:szCs w:val="22"/>
        </w:rPr>
      </w:pPr>
      <w:r>
        <w:rPr>
          <w:rFonts w:hint="eastAsia" w:ascii="方正黑体_GBK" w:hAnsi="黑体" w:eastAsia="方正黑体_GBK" w:cs="仿宋_GB2312"/>
          <w:kern w:val="2"/>
          <w:sz w:val="32"/>
          <w:szCs w:val="22"/>
        </w:rPr>
        <w:t>四、其他需要说明的事项</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（一）财政拨款会议费和培训费情况说明</w:t>
      </w:r>
    </w:p>
    <w:p>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color w:val="000000"/>
          <w:sz w:val="32"/>
          <w:szCs w:val="32"/>
        </w:rPr>
        <w:t>主要原因是上年和本年均未发生会议费支出</w:t>
      </w:r>
      <w:r>
        <w:rPr>
          <w:rFonts w:ascii="方正仿宋_GBK" w:eastAsia="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19.27</w:t>
      </w:r>
      <w:r>
        <w:rPr>
          <w:rFonts w:ascii="方正仿宋_GBK" w:hAnsi="方正仿宋_GBK" w:eastAsia="方正仿宋_GBK" w:cs="方正仿宋_GBK"/>
          <w:sz w:val="32"/>
          <w:szCs w:val="32"/>
          <w:shd w:val="clear" w:color="auto" w:fill="FFFFFF"/>
        </w:rPr>
        <w:t>万元，与2023年度相比，增加4.78万元，增长32.99%，</w:t>
      </w:r>
      <w:r>
        <w:rPr>
          <w:rFonts w:ascii="方正仿宋_GBK" w:eastAsia="方正仿宋_GBK"/>
          <w:sz w:val="32"/>
          <w:szCs w:val="32"/>
          <w:shd w:val="clear" w:color="auto" w:fill="FFFFFF"/>
        </w:rPr>
        <w:t>主要原因是本年度学校加大教职工培训力度</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（二）机关运行经费情况说明</w:t>
      </w:r>
    </w:p>
    <w:p>
      <w:pPr>
        <w:pStyle w:val="6"/>
        <w:autoSpaceDE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eastAsia="方正仿宋_GBK"/>
          <w:sz w:val="32"/>
          <w:szCs w:val="32"/>
          <w:shd w:val="clear" w:color="auto" w:fill="FFFFFF"/>
        </w:rPr>
        <w:t>2024年度本单位机关运行经费支出</w:t>
      </w:r>
      <w:r>
        <w:rPr>
          <w:rFonts w:ascii="方正仿宋_GBK" w:eastAsia="方正仿宋_GBK"/>
          <w:sz w:val="32"/>
          <w:szCs w:val="32"/>
        </w:rPr>
        <w:t>0.0</w:t>
      </w:r>
      <w:r>
        <w:rPr>
          <w:rFonts w:ascii="方正仿宋_GBK" w:eastAsia="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（三）国有资产占用情况说明</w:t>
      </w:r>
    </w:p>
    <w:p>
      <w:pPr>
        <w:pStyle w:val="11"/>
        <w:autoSpaceDE w:val="0"/>
        <w:spacing w:line="600" w:lineRule="exact"/>
        <w:ind w:firstLine="640"/>
        <w:rPr>
          <w:rFonts w:ascii="方正仿宋_GBK" w:eastAsia="方正仿宋_GBK"/>
          <w:sz w:val="32"/>
          <w:szCs w:val="32"/>
          <w:shd w:val="clear" w:color="auto" w:fill="FFFFFF"/>
        </w:rPr>
      </w:pPr>
      <w:r>
        <w:rPr>
          <w:rFonts w:hint="eastAsia" w:ascii="方正仿宋_GBK" w:eastAsia="方正仿宋_GBK"/>
          <w:sz w:val="32"/>
          <w:szCs w:val="32"/>
          <w:shd w:val="clear" w:color="auto" w:fill="FFFFFF"/>
        </w:rPr>
        <w:t>截至2024年12月31日，本单位共有车辆</w:t>
      </w:r>
      <w:r>
        <w:rPr>
          <w:rFonts w:hint="eastAsia" w:ascii="方正仿宋_GBK" w:eastAsia="方正仿宋_GBK"/>
          <w:sz w:val="32"/>
          <w:szCs w:val="32"/>
        </w:rPr>
        <w:t>0</w:t>
      </w:r>
      <w:r>
        <w:rPr>
          <w:rFonts w:hint="eastAsia" w:ascii="方正仿宋_GBK" w:eastAsia="方正仿宋_GBK"/>
          <w:sz w:val="32"/>
          <w:szCs w:val="32"/>
          <w:shd w:val="clear" w:color="auto" w:fill="FFFFFF"/>
        </w:rPr>
        <w:t>辆，其中，副部（省）级及以上领导用车</w:t>
      </w:r>
      <w:r>
        <w:rPr>
          <w:rFonts w:hint="eastAsia" w:ascii="方正仿宋_GBK" w:eastAsia="方正仿宋_GBK"/>
          <w:sz w:val="32"/>
          <w:szCs w:val="32"/>
        </w:rPr>
        <w:t>0</w:t>
      </w:r>
      <w:r>
        <w:rPr>
          <w:rFonts w:hint="eastAsia" w:ascii="方正仿宋_GBK" w:eastAsia="方正仿宋_GBK"/>
          <w:sz w:val="32"/>
          <w:szCs w:val="32"/>
          <w:shd w:val="clear" w:color="auto" w:fill="FFFFFF"/>
        </w:rPr>
        <w:t>辆、主要负责人用车</w:t>
      </w:r>
      <w:r>
        <w:rPr>
          <w:rFonts w:hint="eastAsia" w:ascii="方正仿宋_GBK" w:eastAsia="方正仿宋_GBK"/>
          <w:sz w:val="32"/>
          <w:szCs w:val="32"/>
        </w:rPr>
        <w:t>0</w:t>
      </w:r>
      <w:r>
        <w:rPr>
          <w:rFonts w:hint="eastAsia" w:ascii="方正仿宋_GBK" w:eastAsia="方正仿宋_GBK"/>
          <w:sz w:val="32"/>
          <w:szCs w:val="32"/>
          <w:shd w:val="clear" w:color="auto" w:fill="FFFFFF"/>
        </w:rPr>
        <w:t>辆、机要通信用车</w:t>
      </w:r>
      <w:r>
        <w:rPr>
          <w:rFonts w:hint="eastAsia" w:ascii="方正仿宋_GBK" w:eastAsia="方正仿宋_GBK"/>
          <w:sz w:val="32"/>
          <w:szCs w:val="32"/>
        </w:rPr>
        <w:t>0</w:t>
      </w:r>
      <w:r>
        <w:rPr>
          <w:rFonts w:hint="eastAsia" w:ascii="方正仿宋_GBK" w:eastAsia="方正仿宋_GBK"/>
          <w:sz w:val="32"/>
          <w:szCs w:val="32"/>
          <w:shd w:val="clear" w:color="auto" w:fill="FFFFFF"/>
        </w:rPr>
        <w:t>辆、应急保障用车</w:t>
      </w:r>
      <w:r>
        <w:rPr>
          <w:rFonts w:hint="eastAsia" w:ascii="方正仿宋_GBK" w:eastAsia="方正仿宋_GBK"/>
          <w:sz w:val="32"/>
          <w:szCs w:val="32"/>
        </w:rPr>
        <w:t>0</w:t>
      </w:r>
      <w:r>
        <w:rPr>
          <w:rFonts w:hint="eastAsia" w:ascii="方正仿宋_GBK" w:eastAsia="方正仿宋_GBK"/>
          <w:sz w:val="32"/>
          <w:szCs w:val="32"/>
          <w:shd w:val="clear" w:color="auto" w:fill="FFFFFF"/>
        </w:rPr>
        <w:t>辆、执法执勤用车</w:t>
      </w:r>
      <w:r>
        <w:rPr>
          <w:rFonts w:hint="eastAsia" w:ascii="方正仿宋_GBK" w:eastAsia="方正仿宋_GBK"/>
          <w:sz w:val="32"/>
          <w:szCs w:val="32"/>
        </w:rPr>
        <w:t>0</w:t>
      </w:r>
      <w:r>
        <w:rPr>
          <w:rFonts w:hint="eastAsia" w:ascii="方正仿宋_GBK" w:eastAsia="方正仿宋_GBK"/>
          <w:sz w:val="32"/>
          <w:szCs w:val="32"/>
          <w:shd w:val="clear" w:color="auto" w:fill="FFFFFF"/>
        </w:rPr>
        <w:t>辆，特种专业技术用车</w:t>
      </w:r>
      <w:r>
        <w:rPr>
          <w:rFonts w:hint="eastAsia" w:ascii="方正仿宋_GBK" w:eastAsia="方正仿宋_GBK"/>
          <w:sz w:val="32"/>
          <w:szCs w:val="32"/>
        </w:rPr>
        <w:t>0</w:t>
      </w:r>
      <w:r>
        <w:rPr>
          <w:rFonts w:hint="eastAsia" w:ascii="方正仿宋_GBK" w:eastAsia="方正仿宋_GBK"/>
          <w:sz w:val="32"/>
          <w:szCs w:val="32"/>
          <w:shd w:val="clear" w:color="auto" w:fill="FFFFFF"/>
        </w:rPr>
        <w:t>辆，离退休干部用车</w:t>
      </w:r>
      <w:r>
        <w:rPr>
          <w:rFonts w:hint="eastAsia" w:ascii="方正仿宋_GBK" w:eastAsia="方正仿宋_GBK"/>
          <w:sz w:val="32"/>
          <w:szCs w:val="32"/>
        </w:rPr>
        <w:t>0</w:t>
      </w:r>
      <w:r>
        <w:rPr>
          <w:rFonts w:hint="eastAsia" w:ascii="方正仿宋_GBK" w:eastAsia="方正仿宋_GBK"/>
          <w:sz w:val="32"/>
          <w:szCs w:val="32"/>
          <w:shd w:val="clear" w:color="auto" w:fill="FFFFFF"/>
        </w:rPr>
        <w:t>辆。单价100万元（含）以上专用设备</w:t>
      </w:r>
      <w:r>
        <w:rPr>
          <w:rFonts w:hint="eastAsia" w:ascii="方正仿宋_GBK" w:eastAsia="方正仿宋_GBK"/>
          <w:sz w:val="32"/>
          <w:szCs w:val="32"/>
        </w:rPr>
        <w:t>0</w:t>
      </w:r>
      <w:r>
        <w:rPr>
          <w:rFonts w:hint="eastAsia" w:ascii="方正仿宋_GBK" w:eastAsia="方正仿宋_GBK"/>
          <w:sz w:val="32"/>
          <w:szCs w:val="32"/>
          <w:shd w:val="clear" w:color="auto" w:fill="FFFFFF"/>
        </w:rPr>
        <w:t>台（套）。</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widowControl w:val="0"/>
        <w:spacing w:line="600" w:lineRule="exact"/>
        <w:ind w:firstLine="640" w:firstLineChars="200"/>
        <w:jc w:val="both"/>
        <w:rPr>
          <w:rFonts w:hint="default" w:ascii="方正黑体_GBK" w:hAnsi="黑体" w:eastAsia="方正黑体_GBK" w:cs="仿宋_GB2312"/>
          <w:kern w:val="2"/>
          <w:sz w:val="32"/>
          <w:szCs w:val="22"/>
        </w:rPr>
      </w:pPr>
      <w:r>
        <w:rPr>
          <w:rFonts w:hint="eastAsia" w:ascii="方正黑体_GBK" w:hAnsi="黑体" w:eastAsia="方正黑体_GBK" w:cs="仿宋_GB2312"/>
          <w:kern w:val="2"/>
          <w:sz w:val="32"/>
          <w:szCs w:val="22"/>
        </w:rPr>
        <w:t>五、</w:t>
      </w:r>
      <w:r>
        <w:rPr>
          <w:rFonts w:hint="eastAsia" w:ascii="方正黑体_GBK" w:hAnsi="黑体" w:eastAsia="方正黑体_GBK" w:cs="仿宋_GB2312"/>
          <w:kern w:val="2"/>
          <w:sz w:val="32"/>
          <w:szCs w:val="22"/>
          <w:lang w:val="en-US" w:eastAsia="zh-CN"/>
        </w:rPr>
        <w:t>2024年度</w:t>
      </w:r>
      <w:r>
        <w:rPr>
          <w:rFonts w:hint="eastAsia" w:ascii="方正黑体_GBK" w:hAnsi="黑体" w:eastAsia="方正黑体_GBK" w:cs="仿宋_GB2312"/>
          <w:kern w:val="2"/>
          <w:sz w:val="32"/>
          <w:szCs w:val="22"/>
        </w:rPr>
        <w:t>预算绩效管理情况说明</w:t>
      </w:r>
    </w:p>
    <w:p>
      <w:pPr>
        <w:pStyle w:val="11"/>
        <w:autoSpaceDE w:val="0"/>
        <w:ind w:firstLine="643"/>
        <w:rPr>
          <w:rFonts w:ascii="楷体" w:hAnsi="楷体" w:eastAsia="方正楷体_GBK" w:cs="楷体"/>
          <w:b/>
          <w:bCs/>
          <w:sz w:val="32"/>
          <w:szCs w:val="32"/>
          <w:shd w:val="clear" w:color="auto" w:fill="FFFFFF"/>
        </w:rPr>
      </w:pPr>
      <w:r>
        <w:rPr>
          <w:rFonts w:hint="eastAsia" w:ascii="楷体" w:hAnsi="楷体" w:eastAsia="方正楷体_GBK" w:cs="楷体"/>
          <w:b/>
          <w:bCs/>
          <w:sz w:val="32"/>
          <w:szCs w:val="32"/>
          <w:shd w:val="clear" w:color="auto" w:fill="FFFFFF"/>
        </w:rPr>
        <w:t>（一）单位自评情况</w:t>
      </w:r>
    </w:p>
    <w:p>
      <w:pPr>
        <w:pStyle w:val="12"/>
        <w:autoSpaceDE w:val="0"/>
        <w:spacing w:before="0" w:beforeAutospacing="0" w:line="600" w:lineRule="exact"/>
        <w:ind w:firstLine="640" w:firstLineChars="200"/>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r>
        <w:rPr>
          <w:rFonts w:hint="eastAsia" w:ascii="方正仿宋_GBK" w:eastAsia="方正仿宋_GBK"/>
          <w:color w:val="000000"/>
          <w:sz w:val="32"/>
          <w:szCs w:val="32"/>
          <w:shd w:val="clear" w:color="auto" w:fill="FFFFFF"/>
        </w:rPr>
        <w:t>根据预算绩效管理要求，我单位对11个二级项目开展了绩效自评，涉及财政拨款项目支出资金220.91万元。</w:t>
      </w:r>
    </w:p>
    <w:p>
      <w:pPr>
        <w:rPr>
          <w:rFonts w:hint="default"/>
        </w:rPr>
      </w:pPr>
      <w:r>
        <w:drawing>
          <wp:inline distT="0" distB="0" distL="0" distR="0">
            <wp:extent cx="5688330" cy="5396230"/>
            <wp:effectExtent l="0" t="0" r="762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88330" cy="5396230"/>
                    </a:xfrm>
                    <a:prstGeom prst="rect">
                      <a:avLst/>
                    </a:prstGeom>
                    <a:noFill/>
                    <a:ln>
                      <a:noFill/>
                    </a:ln>
                  </pic:spPr>
                </pic:pic>
              </a:graphicData>
            </a:graphic>
          </wp:inline>
        </w:drawing>
      </w:r>
      <w:r>
        <w:t xml:space="preserve"> </w:t>
      </w:r>
      <w:r>
        <w:drawing>
          <wp:inline distT="0" distB="0" distL="0" distR="0">
            <wp:extent cx="5764530" cy="5365750"/>
            <wp:effectExtent l="0" t="0" r="762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64530" cy="5365750"/>
                    </a:xfrm>
                    <a:prstGeom prst="rect">
                      <a:avLst/>
                    </a:prstGeom>
                    <a:noFill/>
                    <a:ln>
                      <a:noFill/>
                    </a:ln>
                  </pic:spPr>
                </pic:pic>
              </a:graphicData>
            </a:graphic>
          </wp:inline>
        </w:drawing>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（三）财政绩效评价情况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县财政局未委托第三方对我单位开展绩效评价。</w:t>
      </w:r>
    </w:p>
    <w:p>
      <w:pPr>
        <w:widowControl w:val="0"/>
        <w:spacing w:line="600" w:lineRule="exact"/>
        <w:ind w:firstLine="640" w:firstLineChars="200"/>
        <w:jc w:val="both"/>
        <w:rPr>
          <w:rFonts w:hint="default" w:ascii="方正黑体_GBK" w:hAnsi="黑体" w:eastAsia="方正黑体_GBK" w:cs="仿宋_GB2312"/>
          <w:kern w:val="2"/>
          <w:sz w:val="32"/>
          <w:szCs w:val="22"/>
        </w:rPr>
      </w:pPr>
      <w:r>
        <w:rPr>
          <w:rFonts w:hint="eastAsia" w:ascii="方正黑体_GBK" w:hAnsi="黑体" w:eastAsia="方正黑体_GBK" w:cs="仿宋_GB2312"/>
          <w:kern w:val="2"/>
          <w:sz w:val="32"/>
          <w:szCs w:val="22"/>
        </w:rPr>
        <w:t>六、专业名词解释</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（一）财政拨款收入：</w:t>
      </w:r>
      <w:r>
        <w:rPr>
          <w:rFonts w:ascii="方正仿宋_GBK" w:eastAsia="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（二）事业收入：</w:t>
      </w:r>
      <w:r>
        <w:rPr>
          <w:rFonts w:ascii="方正仿宋_GBK"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（三）经营收入：</w:t>
      </w:r>
      <w:r>
        <w:rPr>
          <w:rFonts w:ascii="方正仿宋_GBK" w:eastAsia="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（四）其他收入：</w:t>
      </w:r>
      <w:r>
        <w:rPr>
          <w:rFonts w:ascii="方正仿宋_GBK"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（五）使用非财政拨款结余：</w:t>
      </w:r>
      <w:r>
        <w:rPr>
          <w:rFonts w:ascii="方正仿宋_GBK" w:eastAsia="方正仿宋_GBK"/>
          <w:sz w:val="32"/>
          <w:szCs w:val="32"/>
          <w:shd w:val="clear" w:color="auto" w:fill="FFFFFF"/>
        </w:rPr>
        <w:t>指单位在当年的“财政拨款收入”</w:t>
      </w:r>
      <w:bookmarkStart w:id="0" w:name="_GoBack"/>
      <w:bookmarkEnd w:id="0"/>
      <w:r>
        <w:rPr>
          <w:rFonts w:ascii="方正仿宋_GBK" w:eastAsia="方正仿宋_GBK"/>
          <w:sz w:val="32"/>
          <w:szCs w:val="32"/>
          <w:shd w:val="clear" w:color="auto" w:fill="FFFFFF"/>
        </w:rPr>
        <w:t>“事业收入”“经营收入”“其他收入”等不足以安排当年支出的情况下，使用以前年度积累的非财政拨款结余弥补本年度收支缺口的资金。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（六）年初结转和结余：</w:t>
      </w:r>
      <w:r>
        <w:rPr>
          <w:rFonts w:ascii="方正仿宋_GBK" w:eastAsia="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（七）结余分配：</w:t>
      </w:r>
      <w:r>
        <w:rPr>
          <w:rFonts w:ascii="方正仿宋_GBK" w:eastAsia="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（八）年末结转和结余：</w:t>
      </w:r>
      <w:r>
        <w:rPr>
          <w:rFonts w:ascii="方正仿宋_GBK" w:eastAsia="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（九）基本支出：</w:t>
      </w:r>
      <w:r>
        <w:rPr>
          <w:rFonts w:ascii="方正仿宋_GBK"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（十）项目支出：</w:t>
      </w:r>
      <w:r>
        <w:rPr>
          <w:rFonts w:ascii="方正仿宋_GBK" w:eastAsia="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（十一）经营支出：</w:t>
      </w:r>
      <w:r>
        <w:rPr>
          <w:rFonts w:ascii="方正仿宋_GBK" w:eastAsia="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（十二）“三公”经费：</w:t>
      </w:r>
      <w:r>
        <w:rPr>
          <w:rFonts w:ascii="方正仿宋_GBK"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（十三）机关运行经费：</w:t>
      </w:r>
      <w:r>
        <w:rPr>
          <w:rFonts w:ascii="方正仿宋_GBK"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（十四）工资福利支出（支出经济分类科目类级）：</w:t>
      </w:r>
      <w:r>
        <w:rPr>
          <w:rFonts w:ascii="方正仿宋_GBK" w:eastAsia="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（十五）商品和服务支出（支出经济分类科目类级）：</w:t>
      </w:r>
      <w:r>
        <w:rPr>
          <w:rFonts w:ascii="方正仿宋_GBK" w:eastAsia="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（十六）对个人和家庭的补助（支出经济分类科目类级）：</w:t>
      </w:r>
      <w:r>
        <w:rPr>
          <w:rFonts w:ascii="方正仿宋_GBK" w:eastAsia="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eastAsia="方正仿宋_GBK"/>
          <w:sz w:val="32"/>
          <w:szCs w:val="32"/>
        </w:rPr>
      </w:pPr>
      <w:r>
        <w:rPr>
          <w:rFonts w:ascii="方正楷体_GBK" w:eastAsia="方正楷体_GBK"/>
          <w:b/>
          <w:bCs/>
          <w:sz w:val="32"/>
          <w:szCs w:val="32"/>
          <w:shd w:val="clear" w:color="auto" w:fill="FFFFFF"/>
        </w:rPr>
        <w:t>（十七）其他资本性支出（支出经济分类科目类级）：</w:t>
      </w:r>
      <w:r>
        <w:rPr>
          <w:rFonts w:ascii="方正仿宋_GBK"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widowControl w:val="0"/>
        <w:spacing w:line="600" w:lineRule="exact"/>
        <w:ind w:firstLine="640" w:firstLineChars="200"/>
        <w:jc w:val="both"/>
        <w:rPr>
          <w:rFonts w:hint="default" w:ascii="方正黑体_GBK" w:hAnsi="黑体" w:eastAsia="方正黑体_GBK" w:cs="仿宋_GB2312"/>
          <w:kern w:val="2"/>
          <w:sz w:val="32"/>
          <w:szCs w:val="22"/>
        </w:rPr>
      </w:pPr>
      <w:r>
        <w:rPr>
          <w:rFonts w:hint="eastAsia" w:ascii="方正黑体_GBK" w:hAnsi="黑体" w:eastAsia="方正黑体_GBK" w:cs="仿宋_GB2312"/>
          <w:kern w:val="2"/>
          <w:sz w:val="32"/>
          <w:szCs w:val="22"/>
        </w:rPr>
        <w:t>七、决算公开联系方式及信息反馈渠道</w:t>
      </w:r>
    </w:p>
    <w:p>
      <w:pPr>
        <w:pStyle w:val="16"/>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6"/>
        <w:ind w:firstLine="640" w:firstLineChars="200"/>
      </w:pPr>
      <w:r>
        <w:rPr>
          <w:rFonts w:hint="eastAsia" w:ascii="方正仿宋_GBK" w:eastAsia="方正仿宋_GBK"/>
          <w:sz w:val="32"/>
          <w:szCs w:val="32"/>
        </w:rPr>
        <w:t>胡老师    023-74572417</w:t>
      </w:r>
    </w:p>
    <w:p>
      <w:pPr>
        <w:pStyle w:val="6"/>
        <w:snapToGrid w:val="0"/>
        <w:spacing w:before="0" w:beforeAutospacing="0" w:after="0" w:afterAutospacing="0" w:line="600" w:lineRule="exact"/>
        <w:ind w:firstLine="643"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垫江县新民小学校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3,857.14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2,932.42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902.46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4,124.05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4,159.11</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4,159.11</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垫江县新民小学校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4,124.05</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3,857.14</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253.91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2,916.35</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2,649.44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2,909.81</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2,642.90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2,909.81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2,642.90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902.46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902.46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166.86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166.86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393.64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393.64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166.20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166.20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166.20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166.20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166.20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166.20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pPr>
        <w:rPr>
          <w:rFonts w:hint="default" w:cs="宋体"/>
          <w:sz w:val="20"/>
          <w:szCs w:val="20"/>
        </w:rPr>
      </w:pP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垫江县新民小学校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4,140.11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3,907.73</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232.39</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2,932.42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2,701.18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231.24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2,925.88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2,694.64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231.24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2,925.88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2,694.64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902.46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901.32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895.34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894.20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334.84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166.86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166.86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393.64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392.50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139.04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166.20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166.20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166.20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166.20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166.20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166.20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垫江县新民小学校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3,857.14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2,649.44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2,649.44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902.46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902.46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166.20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166.20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3,857.14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3,857.14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3,857.14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3,857.14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3,857.14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3,857.14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垫江县新民小学校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3,857.14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3,636.23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220.91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2,649.44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2,429.68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219.76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2,642.90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2,423.14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219.76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2,642.90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2,423.14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219.76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902.46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901.32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895.34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894.20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334.84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334.84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166.86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166.86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393.64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392.50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139.04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139.04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139.04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139.04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139.04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139.04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166.20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166.20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166.20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166.20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166.20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166.20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垫江县新民小学校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3,172.20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778.29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1,437.95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334.84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166.86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399.62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358.59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3,571.81</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64.42</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p>
    <w:p>
      <w:pPr>
        <w:spacing w:line="280" w:lineRule="exact"/>
        <w:rPr>
          <w:rFonts w:hint="default" w:cs="宋体"/>
          <w:sz w:val="20"/>
          <w:szCs w:val="20"/>
        </w:rPr>
      </w:pP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垫江县新民小学校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垫江县新民小学校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垫江县新民小学校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19.27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17.27</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2C596C"/>
    <w:rsid w:val="00466C9B"/>
    <w:rsid w:val="004A4936"/>
    <w:rsid w:val="00550ABE"/>
    <w:rsid w:val="00641D59"/>
    <w:rsid w:val="006661D0"/>
    <w:rsid w:val="00770383"/>
    <w:rsid w:val="007819D4"/>
    <w:rsid w:val="007B419D"/>
    <w:rsid w:val="007B7C4B"/>
    <w:rsid w:val="007D3D39"/>
    <w:rsid w:val="00927BDA"/>
    <w:rsid w:val="00994AF7"/>
    <w:rsid w:val="009B67B8"/>
    <w:rsid w:val="009D2B67"/>
    <w:rsid w:val="00A566F9"/>
    <w:rsid w:val="00AF2751"/>
    <w:rsid w:val="00B03CCD"/>
    <w:rsid w:val="00B71848"/>
    <w:rsid w:val="00BE2B89"/>
    <w:rsid w:val="00C10E9E"/>
    <w:rsid w:val="00C20C3E"/>
    <w:rsid w:val="00CF2ACF"/>
    <w:rsid w:val="00DC3321"/>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1E2832"/>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EA044BE"/>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5B06FCF"/>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0176BD"/>
    <w:rsid w:val="426C1EA8"/>
    <w:rsid w:val="42736402"/>
    <w:rsid w:val="42E86A87"/>
    <w:rsid w:val="43307B09"/>
    <w:rsid w:val="439A3EB9"/>
    <w:rsid w:val="43BB152F"/>
    <w:rsid w:val="44C37687"/>
    <w:rsid w:val="453F380B"/>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CA50B0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E0F3407"/>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0"/>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8892</Words>
  <Characters>11607</Characters>
  <Lines>47</Lines>
  <Paragraphs>28</Paragraphs>
  <TotalTime>37</TotalTime>
  <ScaleCrop>false</ScaleCrop>
  <LinksUpToDate>false</LinksUpToDate>
  <CharactersWithSpaces>12664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2025-09-22T08:01:14Z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