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垫江县晓兴学校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2024年</w:t>
      </w:r>
      <w:r>
        <w:rPr>
          <w:rFonts w:ascii="方正小标宋_GBK" w:hAnsi="方正小标宋_GBK" w:eastAsia="方正小标宋_GBK" w:cs="方正小标宋_GBK"/>
          <w:sz w:val="44"/>
          <w:szCs w:val="44"/>
        </w:rPr>
        <w:t>度决算公开说明</w:t>
      </w:r>
    </w:p>
    <w:p>
      <w:pPr>
        <w:spacing w:line="600" w:lineRule="exact"/>
        <w:ind w:firstLine="880" w:firstLineChars="200"/>
        <w:jc w:val="center"/>
        <w:rPr>
          <w:rFonts w:ascii="华文中宋" w:hAnsi="华文中宋" w:eastAsia="华文中宋" w:cs="华文中宋"/>
          <w:sz w:val="44"/>
          <w:szCs w:val="44"/>
        </w:rPr>
      </w:pPr>
    </w:p>
    <w:p>
      <w:pPr>
        <w:spacing w:line="600" w:lineRule="exact"/>
        <w:ind w:firstLine="640" w:firstLineChars="200"/>
        <w:rPr>
          <w:rFonts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spacing w:line="600" w:lineRule="exact"/>
        <w:ind w:firstLine="640" w:firstLineChars="200"/>
        <w:rPr>
          <w:rFonts w:eastAsia="方正仿宋_GBK"/>
          <w:sz w:val="32"/>
        </w:rPr>
      </w:pPr>
      <w:r>
        <w:rPr>
          <w:rFonts w:eastAsia="方正仿宋_GBK"/>
          <w:sz w:val="32"/>
        </w:rPr>
        <w:t>负责适龄儿童、青少年义务教育工作；负责辖区学前儿童教育与保育工作。</w:t>
      </w:r>
    </w:p>
    <w:p>
      <w:pPr>
        <w:spacing w:line="600" w:lineRule="exact"/>
        <w:ind w:firstLine="643" w:firstLineChars="200"/>
        <w:rPr>
          <w:rFonts w:eastAsia="方正楷体_GBK"/>
          <w:b/>
          <w:sz w:val="32"/>
          <w:szCs w:val="21"/>
        </w:rPr>
      </w:pPr>
      <w:r>
        <w:rPr>
          <w:rFonts w:hAnsi="方正楷体_GBK" w:eastAsia="方正楷体_GBK"/>
          <w:b/>
          <w:sz w:val="32"/>
          <w:szCs w:val="21"/>
        </w:rPr>
        <w:t>（二）</w:t>
      </w:r>
      <w:r>
        <w:rPr>
          <w:rFonts w:hint="eastAsia" w:hAnsi="方正楷体_GBK" w:eastAsia="方正楷体_GBK"/>
          <w:b/>
          <w:sz w:val="32"/>
          <w:szCs w:val="21"/>
        </w:rPr>
        <w:t>机构设置</w:t>
      </w:r>
    </w:p>
    <w:p>
      <w:pPr>
        <w:spacing w:line="600" w:lineRule="exact"/>
        <w:ind w:firstLine="640" w:firstLineChars="200"/>
        <w:rPr>
          <w:rFonts w:eastAsia="方正仿宋_GBK"/>
          <w:sz w:val="32"/>
        </w:rPr>
      </w:pPr>
      <w:r>
        <w:rPr>
          <w:rFonts w:eastAsia="方正仿宋_GBK"/>
          <w:sz w:val="32"/>
        </w:rPr>
        <w:t>学校单位领导职数4名，其中：校长1名、副校长3名；内设机构领导职数4名。内设机构有德育处、教务处、教科处、后勤处。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二、单位决算</w:t>
      </w:r>
      <w:r>
        <w:rPr>
          <w:rFonts w:hint="eastAsia" w:ascii="方正黑体_GBK" w:hAnsi="黑体" w:eastAsia="方正黑体_GBK" w:cs="仿宋_GB2312"/>
          <w:sz w:val="32"/>
          <w:lang w:eastAsia="zh-CN"/>
        </w:rPr>
        <w:t>收支</w:t>
      </w:r>
      <w:r>
        <w:rPr>
          <w:rFonts w:hint="eastAsia" w:ascii="方正黑体_GBK" w:hAnsi="黑体" w:eastAsia="方正黑体_GBK" w:cs="仿宋_GB2312"/>
          <w:sz w:val="32"/>
        </w:rPr>
        <w:t>情况说明</w:t>
      </w:r>
    </w:p>
    <w:p>
      <w:pPr>
        <w:spacing w:line="600" w:lineRule="exact"/>
        <w:ind w:firstLine="643" w:firstLineChars="200"/>
        <w:rPr>
          <w:rFonts w:hint="eastAsia" w:eastAsia="方正楷体_GBK"/>
          <w:b/>
          <w:bCs/>
          <w:sz w:val="32"/>
          <w:szCs w:val="32"/>
        </w:rPr>
      </w:pPr>
      <w:r>
        <w:rPr>
          <w:rFonts w:hint="eastAsia" w:eastAsia="方正楷体_GBK"/>
          <w:b/>
          <w:bCs/>
          <w:sz w:val="32"/>
          <w:szCs w:val="32"/>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度收入总计692.47万元，支出总计</w:t>
      </w:r>
      <w:r>
        <w:rPr>
          <w:rFonts w:ascii="方正仿宋_GBK" w:hAnsi="方正仿宋_GBK" w:eastAsia="方正仿宋_GBK" w:cs="方正仿宋_GBK"/>
          <w:sz w:val="32"/>
          <w:szCs w:val="32"/>
        </w:rPr>
        <w:t>692.47</w:t>
      </w:r>
      <w:r>
        <w:rPr>
          <w:rFonts w:ascii="方正仿宋_GBK" w:hAnsi="方正仿宋_GBK" w:eastAsia="方正仿宋_GBK" w:cs="方正仿宋_GBK"/>
          <w:sz w:val="32"/>
          <w:szCs w:val="32"/>
          <w:shd w:val="clear" w:color="auto" w:fill="FFFFFF"/>
        </w:rPr>
        <w:t>万元。收、支与2023年度相比，减少140.00万元，下降16.82%，主要原因是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度收入合计685.72万元，与2023年度相比，减少125.65万元，下降15.49%，主要原因是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660.40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96.31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9.43</w:t>
      </w:r>
      <w:r>
        <w:rPr>
          <w:rFonts w:ascii="方正仿宋_GBK" w:hAnsi="方正仿宋_GBK" w:eastAsia="方正仿宋_GBK" w:cs="方正仿宋_GBK"/>
          <w:sz w:val="32"/>
          <w:szCs w:val="32"/>
          <w:shd w:val="clear" w:color="auto" w:fill="FFFFFF"/>
        </w:rPr>
        <w:t>万元，占1.38%；经营收入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15.88</w:t>
      </w:r>
      <w:r>
        <w:rPr>
          <w:rFonts w:ascii="方正仿宋_GBK" w:hAnsi="方正仿宋_GBK" w:eastAsia="方正仿宋_GBK" w:cs="方正仿宋_GBK"/>
          <w:sz w:val="32"/>
          <w:szCs w:val="32"/>
          <w:shd w:val="clear" w:color="auto" w:fill="FFFFFF"/>
        </w:rPr>
        <w:t>万元，占2.32%。此外，使用非财政拨款结余和专用结余</w:t>
      </w:r>
      <w:r>
        <w:rPr>
          <w:rFonts w:ascii="方正仿宋_GBK" w:hAnsi="方正仿宋_GBK" w:eastAsia="方正仿宋_GBK" w:cs="方正仿宋_GBK"/>
          <w:sz w:val="32"/>
          <w:szCs w:val="32"/>
        </w:rPr>
        <w:t>6.76</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690.69</w:t>
      </w:r>
      <w:r>
        <w:rPr>
          <w:rFonts w:ascii="方正仿宋_GBK" w:hAnsi="方正仿宋_GBK" w:eastAsia="方正仿宋_GBK" w:cs="方正仿宋_GBK"/>
          <w:sz w:val="32"/>
          <w:szCs w:val="32"/>
          <w:shd w:val="clear" w:color="auto" w:fill="FFFFFF"/>
        </w:rPr>
        <w:t>万元，与2023年度相比，减少133.27万元，下降16.17%，主要原因是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627.80</w:t>
      </w:r>
      <w:r>
        <w:rPr>
          <w:rFonts w:ascii="方正仿宋_GBK" w:hAnsi="方正仿宋_GBK" w:eastAsia="方正仿宋_GBK" w:cs="方正仿宋_GBK"/>
          <w:sz w:val="32"/>
          <w:szCs w:val="32"/>
          <w:shd w:val="clear" w:color="auto" w:fill="FFFFFF"/>
        </w:rPr>
        <w:t>万元，占90.89%；项目支出</w:t>
      </w:r>
      <w:r>
        <w:rPr>
          <w:rFonts w:ascii="方正仿宋_GBK" w:hAnsi="方正仿宋_GBK" w:eastAsia="方正仿宋_GBK" w:cs="方正仿宋_GBK"/>
          <w:sz w:val="32"/>
          <w:szCs w:val="32"/>
        </w:rPr>
        <w:t>62.90</w:t>
      </w:r>
      <w:r>
        <w:rPr>
          <w:rFonts w:ascii="方正仿宋_GBK" w:hAnsi="方正仿宋_GBK" w:eastAsia="方正仿宋_GBK" w:cs="方正仿宋_GBK"/>
          <w:sz w:val="32"/>
          <w:szCs w:val="32"/>
          <w:shd w:val="clear" w:color="auto" w:fill="FFFFFF"/>
        </w:rPr>
        <w:t>万元，占9.11%；经营支出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主要原因是2023年和2024年均无</w:t>
      </w:r>
      <w:r>
        <w:rPr>
          <w:rFonts w:hint="eastAsia" w:ascii="方正仿宋_GBK" w:hAnsi="方正仿宋_GBK" w:eastAsia="方正仿宋_GBK" w:cs="方正仿宋_GBK"/>
          <w:color w:val="auto"/>
          <w:sz w:val="32"/>
          <w:szCs w:val="32"/>
          <w:shd w:val="clear" w:color="auto" w:fill="FFFFFF"/>
          <w:lang w:eastAsia="zh-CN"/>
        </w:rPr>
        <w:t>年末</w:t>
      </w:r>
      <w:r>
        <w:rPr>
          <w:rFonts w:ascii="方正仿宋_GBK" w:hAnsi="方正仿宋_GBK" w:eastAsia="方正仿宋_GBK" w:cs="方正仿宋_GBK"/>
          <w:color w:val="auto"/>
          <w:sz w:val="32"/>
          <w:szCs w:val="32"/>
          <w:shd w:val="clear" w:color="auto" w:fill="FFFFFF"/>
        </w:rPr>
        <w:t>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度财政拨款收、支总计660.40万元。与202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年相比，财政拨款收、支总计各减少115.40万元，下降14.87%。主要原因是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w:t>
      </w:r>
      <w:bookmarkStart w:id="0" w:name="_GoBack"/>
      <w:bookmarkEnd w:id="0"/>
      <w:r>
        <w:rPr>
          <w:rFonts w:hint="eastAsia" w:ascii="方正仿宋_GBK" w:hAnsi="方正仿宋_GBK" w:eastAsia="方正仿宋_GBK" w:cs="方正仿宋_GBK"/>
          <w:sz w:val="32"/>
          <w:szCs w:val="32"/>
          <w:shd w:val="clear" w:color="auto" w:fill="FFFFFF"/>
          <w:lang w:eastAsia="zh-CN"/>
        </w:rPr>
        <w:t>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660.40</w:t>
      </w:r>
      <w:r>
        <w:rPr>
          <w:rFonts w:ascii="方正仿宋_GBK" w:hAnsi="方正仿宋_GBK" w:eastAsia="方正仿宋_GBK" w:cs="方正仿宋_GBK"/>
          <w:sz w:val="32"/>
          <w:szCs w:val="32"/>
          <w:shd w:val="clear" w:color="auto" w:fill="FFFFFF"/>
        </w:rPr>
        <w:t>万元，与2023年度相比，减少109.11万元，下降14.18%。主要原因是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较年初预算数增加89.03万元，增长15.58%。</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660.40</w:t>
      </w:r>
      <w:r>
        <w:rPr>
          <w:rFonts w:ascii="方正仿宋_GBK" w:hAnsi="方正仿宋_GBK" w:eastAsia="方正仿宋_GBK" w:cs="方正仿宋_GBK"/>
          <w:sz w:val="32"/>
          <w:szCs w:val="32"/>
          <w:shd w:val="clear" w:color="auto" w:fill="FFFFFF"/>
        </w:rPr>
        <w:t>万元，与2023年度相比，减少115.40万元，下降14.87%。主要原因是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较年初预算数增加89.03万元，增长15.58%。</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eastAsia="方正仿宋_GBK"/>
          <w:color w:val="000000"/>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sz w:val="32"/>
          <w:szCs w:val="32"/>
          <w:shd w:val="clear" w:color="auto" w:fill="FFFFFF"/>
        </w:rPr>
        <w:t>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393.28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59.55</w:t>
      </w:r>
      <w:r>
        <w:rPr>
          <w:rFonts w:ascii="方正仿宋_GBK" w:hAnsi="方正仿宋_GBK" w:eastAsia="方正仿宋_GBK" w:cs="方正仿宋_GBK"/>
          <w:sz w:val="32"/>
          <w:szCs w:val="32"/>
          <w:shd w:val="clear" w:color="auto" w:fill="FFFFFF"/>
        </w:rPr>
        <w:t>%，较年初预算数增加34.71万元，增长9.68%，主要原因是</w:t>
      </w:r>
      <w:r>
        <w:rPr>
          <w:rFonts w:ascii="方正仿宋_GBK" w:eastAsia="方正仿宋_GBK"/>
          <w:color w:val="000000"/>
          <w:sz w:val="32"/>
          <w:szCs w:val="32"/>
        </w:rPr>
        <w:t>本年度预算执行中</w:t>
      </w:r>
      <w:r>
        <w:rPr>
          <w:rFonts w:hint="eastAsia" w:ascii="方正仿宋_GBK" w:hAnsi="方正仿宋_GBK" w:eastAsia="方正仿宋_GBK" w:cs="方正仿宋_GBK"/>
          <w:color w:val="auto"/>
          <w:sz w:val="32"/>
          <w:szCs w:val="32"/>
          <w:shd w:val="clear" w:color="auto" w:fill="FFFFFF"/>
          <w:lang w:eastAsia="zh-CN"/>
        </w:rPr>
        <w:t>将</w:t>
      </w:r>
      <w:r>
        <w:rPr>
          <w:rFonts w:hint="eastAsia" w:ascii="方正仿宋_GBK" w:hAnsi="方正仿宋_GBK" w:eastAsia="方正仿宋_GBK" w:cs="方正仿宋_GBK"/>
          <w:color w:val="auto"/>
          <w:sz w:val="32"/>
          <w:szCs w:val="32"/>
          <w:shd w:val="clear" w:color="auto" w:fill="FFFFFF"/>
          <w:lang w:val="en-US" w:eastAsia="zh-CN"/>
        </w:rPr>
        <w:t>教职工正常晋升、岗位变化等追回年初预算。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224.97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34.07</w:t>
      </w:r>
      <w:r>
        <w:rPr>
          <w:rFonts w:ascii="方正仿宋_GBK" w:hAnsi="方正仿宋_GBK" w:eastAsia="方正仿宋_GBK" w:cs="方正仿宋_GBK"/>
          <w:sz w:val="32"/>
          <w:szCs w:val="32"/>
          <w:shd w:val="clear" w:color="auto" w:fill="FFFFFF"/>
        </w:rPr>
        <w:t>%，较年初预算数增加57.35万元，增长34.21%，主要原因是</w:t>
      </w:r>
      <w:r>
        <w:rPr>
          <w:rFonts w:ascii="方正仿宋_GBK" w:eastAsia="方正仿宋_GBK"/>
          <w:color w:val="000000"/>
          <w:sz w:val="32"/>
          <w:szCs w:val="32"/>
        </w:rPr>
        <w:t>本年度预算执行中</w:t>
      </w:r>
      <w:r>
        <w:rPr>
          <w:rFonts w:hint="eastAsia" w:ascii="方正仿宋_GBK" w:hAnsi="方正仿宋_GBK" w:eastAsia="方正仿宋_GBK" w:cs="方正仿宋_GBK"/>
          <w:color w:val="auto"/>
          <w:sz w:val="32"/>
          <w:szCs w:val="32"/>
          <w:shd w:val="clear" w:color="auto" w:fill="FFFFFF"/>
          <w:lang w:eastAsia="zh-CN"/>
        </w:rPr>
        <w:t>将超额绩效纳入养老保险和职业年金基数致社会保障与就业支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eastAsia="方正仿宋_GBK"/>
          <w:color w:val="000000"/>
          <w:sz w:val="32"/>
          <w:szCs w:val="32"/>
        </w:rPr>
        <w:t>调整年初预算</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19.53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2.96</w:t>
      </w:r>
      <w:r>
        <w:rPr>
          <w:rFonts w:ascii="方正仿宋_GBK" w:hAnsi="方正仿宋_GBK" w:eastAsia="方正仿宋_GBK" w:cs="方正仿宋_GBK"/>
          <w:sz w:val="32"/>
          <w:szCs w:val="32"/>
          <w:shd w:val="clear" w:color="auto" w:fill="FFFFFF"/>
        </w:rPr>
        <w:t>%，较年初预算数减少1.00万元，下降4.87%，</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致医疗保险支出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住房保障支出22.63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3.43</w:t>
      </w:r>
      <w:r>
        <w:rPr>
          <w:rFonts w:ascii="方正仿宋_GBK" w:hAnsi="方正仿宋_GBK" w:eastAsia="方正仿宋_GBK" w:cs="方正仿宋_GBK"/>
          <w:sz w:val="32"/>
          <w:szCs w:val="32"/>
          <w:shd w:val="clear" w:color="auto" w:fill="FFFFFF"/>
        </w:rPr>
        <w:t>%，较年初预算数减少2.01万元，下降8.16%，</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w:t>
      </w:r>
      <w:r>
        <w:rPr>
          <w:rFonts w:ascii="方正仿宋_GBK" w:hAnsi="方正仿宋_GBK" w:eastAsia="方正仿宋_GBK" w:cs="方正仿宋_GBK"/>
          <w:sz w:val="32"/>
          <w:szCs w:val="32"/>
        </w:rPr>
        <w:t>住房保障支出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598.33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586.34</w:t>
      </w:r>
      <w:r>
        <w:rPr>
          <w:rFonts w:ascii="方正仿宋_GBK" w:hAnsi="方正仿宋_GBK" w:eastAsia="方正仿宋_GBK" w:cs="方正仿宋_GBK"/>
          <w:sz w:val="32"/>
          <w:szCs w:val="32"/>
          <w:shd w:val="clear" w:color="auto" w:fill="FFFFFF"/>
        </w:rPr>
        <w:t>万元，与2023年度相比，减少81.41万元，下降12.19%，主要原因是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w:t>
      </w:r>
      <w:r>
        <w:rPr>
          <w:rFonts w:ascii="方正仿宋_GBK" w:hAnsi="方正仿宋_GBK" w:eastAsia="方正仿宋_GBK" w:cs="方正仿宋_GBK"/>
          <w:color w:val="auto"/>
          <w:sz w:val="32"/>
          <w:szCs w:val="32"/>
          <w:shd w:val="clear" w:color="auto" w:fill="FFFFFF"/>
        </w:rPr>
        <w:t>。</w:t>
      </w:r>
      <w:r>
        <w:rPr>
          <w:rFonts w:ascii="方正仿宋_GBK" w:eastAsia="方正仿宋_GBK"/>
          <w:color w:val="000000"/>
          <w:sz w:val="32"/>
          <w:szCs w:val="32"/>
        </w:rPr>
        <w:t>人员经费用途主要包括教师统发工资、绩效工资、社会保障和就业支出、医疗卫生支出和住房保障支出</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11.99</w:t>
      </w:r>
      <w:r>
        <w:rPr>
          <w:rFonts w:ascii="方正仿宋_GBK" w:hAnsi="方正仿宋_GBK" w:eastAsia="方正仿宋_GBK" w:cs="方正仿宋_GBK"/>
          <w:sz w:val="32"/>
          <w:szCs w:val="32"/>
          <w:shd w:val="clear" w:color="auto" w:fill="FFFFFF"/>
        </w:rPr>
        <w:t>万元，与2023年度相比，减少5.84万元，下降32.75%，</w:t>
      </w:r>
      <w:r>
        <w:rPr>
          <w:rFonts w:ascii="方正仿宋_GBK" w:eastAsia="方正仿宋_GBK"/>
          <w:color w:val="000000"/>
          <w:sz w:val="32"/>
          <w:szCs w:val="32"/>
        </w:rPr>
        <w:t>主要原因是本年因学生人数减少致公用经费下降。</w:t>
      </w:r>
      <w:r>
        <w:rPr>
          <w:rFonts w:ascii="方正仿宋_GBK" w:hAnsi="方正仿宋_GBK" w:eastAsia="方正仿宋_GBK" w:cs="方正仿宋_GBK"/>
          <w:sz w:val="32"/>
          <w:szCs w:val="32"/>
          <w:shd w:val="clear" w:color="auto" w:fill="FFFFFF"/>
        </w:rPr>
        <w:t>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本单位2024年度无政府性基金预算财政拨款收支。</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本单位2024年度无政府性基金预算财政拨款收支。</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万元，与2023年度相比，减少1.70万元，下降62.96%，</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学校压</w:t>
      </w:r>
      <w:r>
        <w:rPr>
          <w:rFonts w:hint="eastAsia" w:ascii="方正仿宋_GBK" w:hAnsi="方正仿宋_GBK" w:eastAsia="方正仿宋_GBK" w:cs="方正仿宋_GBK"/>
          <w:sz w:val="32"/>
          <w:szCs w:val="32"/>
          <w:shd w:val="clear" w:color="auto" w:fill="FFFFFF"/>
          <w:lang w:eastAsia="zh-CN"/>
        </w:rPr>
        <w:t>减培训等</w:t>
      </w:r>
      <w:r>
        <w:rPr>
          <w:rFonts w:hint="eastAsia" w:ascii="方正仿宋_GBK" w:hAnsi="方正仿宋_GBK" w:eastAsia="方正仿宋_GBK" w:cs="方正仿宋_GBK"/>
          <w:sz w:val="32"/>
          <w:szCs w:val="32"/>
          <w:shd w:val="clear" w:color="auto" w:fill="FFFFFF"/>
        </w:rPr>
        <w:t>公用经费支出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五、2024年度</w:t>
      </w:r>
      <w:r>
        <w:rPr>
          <w:rStyle w:val="10"/>
          <w:rFonts w:hint="eastAsia" w:ascii="方正黑体_GBK" w:hAnsi="方正黑体_GBK" w:eastAsia="方正黑体_GBK" w:cs="方正黑体_GBK"/>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lang w:val="en-US" w:eastAsia="zh-CN"/>
        </w:rPr>
        <w:t>2</w:t>
      </w:r>
      <w:r>
        <w:rPr>
          <w:rFonts w:hint="eastAsia" w:ascii="方正仿宋_GBK" w:hAnsi="方正仿宋_GBK" w:eastAsia="方正仿宋_GBK" w:cs="方正仿宋_GBK"/>
          <w:color w:val="000000"/>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000000"/>
          <w:sz w:val="32"/>
          <w:szCs w:val="32"/>
          <w:shd w:val="clear" w:color="auto" w:fill="FFFFFF"/>
          <w:lang w:val="en-US" w:eastAsia="zh-CN"/>
        </w:rPr>
        <w:t>62.08</w:t>
      </w:r>
      <w:r>
        <w:rPr>
          <w:rFonts w:hint="eastAsia" w:ascii="方正仿宋_GBK" w:hAnsi="方正仿宋_GBK" w:eastAsia="方正仿宋_GBK" w:cs="方正仿宋_GBK"/>
          <w:color w:val="000000"/>
          <w:sz w:val="32"/>
          <w:szCs w:val="32"/>
          <w:shd w:val="clear" w:color="auto" w:fill="FFFFFF"/>
        </w:rPr>
        <w:t>万元。</w:t>
      </w:r>
    </w:p>
    <w:p>
      <w:pPr>
        <w:rPr>
          <w:rFonts w:hint="default"/>
        </w:rPr>
      </w:pPr>
      <w:r>
        <w:drawing>
          <wp:inline distT="0" distB="0" distL="114300" distR="114300">
            <wp:extent cx="5396865" cy="4820285"/>
            <wp:effectExtent l="0" t="0" r="3810"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396865" cy="4820285"/>
                    </a:xfrm>
                    <a:prstGeom prst="rect">
                      <a:avLst/>
                    </a:prstGeom>
                    <a:noFill/>
                    <a:ln>
                      <a:noFill/>
                    </a:ln>
                  </pic:spPr>
                </pic:pic>
              </a:graphicData>
            </a:graphic>
          </wp:inline>
        </w:drawing>
      </w:r>
      <w:r>
        <w:drawing>
          <wp:inline distT="0" distB="0" distL="114300" distR="114300">
            <wp:extent cx="5481955" cy="4946015"/>
            <wp:effectExtent l="0" t="0" r="444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481955" cy="4946015"/>
                    </a:xfrm>
                    <a:prstGeom prst="rect">
                      <a:avLst/>
                    </a:prstGeom>
                    <a:noFill/>
                    <a:ln>
                      <a:noFill/>
                    </a:ln>
                  </pic:spPr>
                </pic:pic>
              </a:graphicData>
            </a:graphic>
          </wp:inline>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来老师   023- 81866709</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垫江县晓兴学校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660.40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15.88</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685.72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692.47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692.47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430"/>
        <w:gridCol w:w="1291"/>
        <w:gridCol w:w="1350"/>
        <w:gridCol w:w="1169"/>
        <w:gridCol w:w="1170"/>
        <w:gridCol w:w="1304"/>
        <w:gridCol w:w="1242"/>
        <w:gridCol w:w="1376"/>
        <w:gridCol w:w="1590"/>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3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垫江县晓兴学校</w:t>
            </w: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3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2" w:hRule="exact"/>
        </w:trPr>
        <w:tc>
          <w:tcPr>
            <w:tcW w:w="50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4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50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685.72</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660.40</w:t>
            </w:r>
            <w:r>
              <w:rPr>
                <w:rFonts w:ascii="Times New Roman" w:hAnsi="Times New Roman"/>
                <w:b/>
                <w:color w:val="000000"/>
                <w:sz w:val="20"/>
                <w:u w:color="auto"/>
              </w:rPr>
              <w:t xml:space="preserve"> </w:t>
            </w:r>
          </w:p>
        </w:tc>
        <w:tc>
          <w:tcPr>
            <w:tcW w:w="11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w:t>
            </w:r>
            <w:r>
              <w:rPr>
                <w:rFonts w:ascii="Times New Roman" w:hAnsi="Times New Roman"/>
                <w:b/>
                <w:color w:val="000000"/>
                <w:sz w:val="20"/>
                <w:u w:color="auto"/>
              </w:rPr>
              <w:t xml:space="preserve"> </w:t>
            </w:r>
          </w:p>
        </w:tc>
        <w:tc>
          <w:tcPr>
            <w:tcW w:w="13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9.43</w:t>
            </w:r>
            <w:r>
              <w:rPr>
                <w:rFonts w:ascii="Times New Roman" w:hAnsi="Times New Roman"/>
                <w:b/>
                <w:color w:val="000000"/>
                <w:sz w:val="20"/>
                <w:u w:color="auto"/>
              </w:rPr>
              <w:t xml:space="preserve"> </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418.59</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393.28</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417.63</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392.32</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15.49</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402.15</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386.35</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224.97</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224.97</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205.03</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205.03</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49.04</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49.04</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131.43</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131.43</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垫江县晓兴学校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2"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690.69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627.80</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62.90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423.56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372.84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408.90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364.24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224.97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212.80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12.18</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204.66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垫江县晓兴学校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660.40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393.28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393.28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660.40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660.40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垫江县晓兴学校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12" w:hRule="exac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12" w:hRule="exac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12"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660.40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598.33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393.28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343.38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392.32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342.42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386.35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342.42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224.97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212.80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204.66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131.43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131.06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p>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垫江县晓兴学校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447.15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210.46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586.34</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垫江县晓兴学校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垫江县晓兴学校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垫江县晓兴学校</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016EF"/>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C011AF"/>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DF4170A"/>
    <w:rsid w:val="1E374ACB"/>
    <w:rsid w:val="1ECF0A66"/>
    <w:rsid w:val="1EF67CA4"/>
    <w:rsid w:val="1F020D3A"/>
    <w:rsid w:val="1F2C5189"/>
    <w:rsid w:val="1F336196"/>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9226EA"/>
    <w:rsid w:val="29C37A35"/>
    <w:rsid w:val="2A076083"/>
    <w:rsid w:val="2A73162E"/>
    <w:rsid w:val="2B167953"/>
    <w:rsid w:val="2B200583"/>
    <w:rsid w:val="2B8209DE"/>
    <w:rsid w:val="2C636760"/>
    <w:rsid w:val="2C6762A3"/>
    <w:rsid w:val="2D7C596B"/>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6B293B"/>
    <w:rsid w:val="781926BC"/>
    <w:rsid w:val="796D60A4"/>
    <w:rsid w:val="79A031D5"/>
    <w:rsid w:val="7A1525F7"/>
    <w:rsid w:val="7B420052"/>
    <w:rsid w:val="7BD06A28"/>
    <w:rsid w:val="7C3A7C0B"/>
    <w:rsid w:val="7C5248E4"/>
    <w:rsid w:val="7C566698"/>
    <w:rsid w:val="7C5866A3"/>
    <w:rsid w:val="7D4C3D4F"/>
    <w:rsid w:val="7D7406BB"/>
    <w:rsid w:val="7DD01831"/>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8807</Words>
  <Characters>11548</Characters>
  <Lines>190</Lines>
  <Paragraphs>53</Paragraphs>
  <TotalTime>2</TotalTime>
  <ScaleCrop>false</ScaleCrop>
  <LinksUpToDate>false</LinksUpToDate>
  <CharactersWithSpaces>12657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2025-09-22T08:13:03Z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