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垫江县西湖小学校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0" w:firstLineChars="200"/>
        <w:rPr>
          <w:rFonts w:ascii="方正黑体_GBK" w:hAnsi="黑体" w:eastAsia="方正黑体_GBK" w:cs="仿宋_GB2312"/>
          <w:sz w:val="32"/>
        </w:rPr>
      </w:pPr>
      <w:r>
        <w:rPr>
          <w:rFonts w:eastAsia="方正楷体_GBK"/>
          <w:b/>
          <w:bCs/>
          <w:sz w:val="32"/>
          <w:szCs w:val="32"/>
        </w:rPr>
        <w:t>（一）职能职责</w:t>
      </w:r>
    </w:p>
    <w:p>
      <w:pPr>
        <w:spacing w:line="600" w:lineRule="exact"/>
        <w:ind w:firstLine="640" w:firstLineChars="200"/>
        <w:rPr>
          <w:rFonts w:ascii="方正黑体_GBK" w:hAnsi="黑体" w:eastAsia="方正黑体_GBK" w:cs="仿宋_GB2312"/>
          <w:sz w:val="32"/>
        </w:rPr>
      </w:pPr>
      <w:r>
        <w:rPr>
          <w:rFonts w:eastAsia="方正仿宋_GBK"/>
          <w:sz w:val="32"/>
        </w:rPr>
        <w:t>单位现行的职能职责主要是实施小学义务教育；适龄儿童义务教育；全面推进素质教育；学校卫生、安全、稳定；学校经费与校产管理；师资队伍建设；学前儿童教育与保育；制定本区域教育发展规划。</w:t>
      </w:r>
    </w:p>
    <w:p>
      <w:pPr>
        <w:spacing w:line="600" w:lineRule="exact"/>
        <w:ind w:firstLine="640" w:firstLineChars="200"/>
        <w:rPr>
          <w:rFonts w:eastAsia="方正仿宋_GBK"/>
          <w:sz w:val="32"/>
        </w:rPr>
      </w:pPr>
      <w:r>
        <w:rPr>
          <w:rFonts w:ascii="方正楷体_GBK" w:hAnsi="仿宋_GB2312" w:eastAsia="方正楷体_GBK" w:cs="仿宋_GB2312"/>
          <w:b/>
          <w:sz w:val="32"/>
        </w:rPr>
        <w:t>（二）机构设置</w:t>
      </w:r>
    </w:p>
    <w:p>
      <w:pPr>
        <w:spacing w:line="600" w:lineRule="exact"/>
        <w:ind w:firstLine="640" w:firstLineChars="200"/>
        <w:rPr>
          <w:rFonts w:eastAsia="方正仿宋_GBK"/>
          <w:sz w:val="32"/>
        </w:rPr>
      </w:pPr>
      <w:r>
        <w:rPr>
          <w:rFonts w:ascii="方正仿宋_GBK" w:eastAsia="方正仿宋_GBK"/>
          <w:sz w:val="32"/>
          <w:szCs w:val="32"/>
        </w:rPr>
        <w:t>本单位内设机构包含：德育处、教务处、教科处、后勤处、安稳办。</w:t>
      </w:r>
    </w:p>
    <w:p>
      <w:pPr>
        <w:spacing w:line="600" w:lineRule="exact"/>
        <w:ind w:firstLine="640" w:firstLineChars="200"/>
        <w:rPr>
          <w:rFonts w:eastAsia="方正仿宋_GBK"/>
          <w:sz w:val="32"/>
        </w:rPr>
      </w:pPr>
      <w:r>
        <w:rPr>
          <w:rFonts w:ascii="方正仿宋_GBK" w:eastAsia="方正仿宋_GBK"/>
          <w:sz w:val="32"/>
          <w:szCs w:val="32"/>
        </w:rPr>
        <w:t>领导职数：单位领导职数8名，其中：校长1名、副校长3名，内设机构领导职数4名。</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2024年度收入总计1626.44万元，支出总计</w:t>
      </w:r>
      <w:r>
        <w:rPr>
          <w:rFonts w:ascii="方正仿宋_GBK" w:hAnsi="方正仿宋_GBK" w:eastAsia="方正仿宋_GBK" w:cs="方正仿宋_GBK"/>
          <w:sz w:val="32"/>
          <w:szCs w:val="32"/>
        </w:rPr>
        <w:t>1626.44</w:t>
      </w:r>
      <w:r>
        <w:rPr>
          <w:rFonts w:ascii="方正仿宋_GBK" w:hAnsi="方正仿宋_GBK" w:eastAsia="方正仿宋_GBK" w:cs="方正仿宋_GBK"/>
          <w:sz w:val="32"/>
          <w:szCs w:val="32"/>
          <w:shd w:val="clear" w:color="auto" w:fill="FFFFFF"/>
        </w:rPr>
        <w:t>万元。收、支与2023年度相比，增加783.12万元，增长92.86%，主要原因是新校区建设工程继续实施和新增教师19人所致。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2024年度收入合计1626.44万元，与2023年度相比，增加803.24万元，增长97.58%，主要原因是新校区建设工程继续实施和新增教师19人所致。其中：财政拨款收入</w:t>
      </w:r>
      <w:r>
        <w:rPr>
          <w:rFonts w:ascii="方正仿宋_GBK" w:hAnsi="方正仿宋_GBK" w:eastAsia="方正仿宋_GBK" w:cs="方正仿宋_GBK"/>
          <w:sz w:val="32"/>
          <w:szCs w:val="32"/>
        </w:rPr>
        <w:t>1433.38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88.13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25.00</w:t>
      </w:r>
      <w:r>
        <w:rPr>
          <w:rFonts w:ascii="方正仿宋_GBK" w:hAnsi="方正仿宋_GBK" w:eastAsia="方正仿宋_GBK" w:cs="方正仿宋_GBK"/>
          <w:sz w:val="32"/>
          <w:szCs w:val="32"/>
          <w:shd w:val="clear" w:color="auto" w:fill="FFFFFF"/>
        </w:rPr>
        <w:t>万元，占1.54%；经营收入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168.06</w:t>
      </w:r>
      <w:r>
        <w:rPr>
          <w:rFonts w:ascii="方正仿宋_GBK" w:hAnsi="方正仿宋_GBK" w:eastAsia="方正仿宋_GBK" w:cs="方正仿宋_GBK"/>
          <w:sz w:val="32"/>
          <w:szCs w:val="32"/>
          <w:shd w:val="clear" w:color="auto" w:fill="FFFFFF"/>
        </w:rPr>
        <w:t>万元，占10.33%。此外，使用非财政拨款结余和专用结余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1615.98</w:t>
      </w:r>
      <w:r>
        <w:rPr>
          <w:rFonts w:ascii="方正仿宋_GBK" w:hAnsi="方正仿宋_GBK" w:eastAsia="方正仿宋_GBK" w:cs="方正仿宋_GBK"/>
          <w:sz w:val="32"/>
          <w:szCs w:val="32"/>
          <w:shd w:val="clear" w:color="auto" w:fill="FFFFFF"/>
        </w:rPr>
        <w:t>万元，与2023年度相比，增加793.07万元，增长96.37%，主要原因是新校区建设工程继续实施和新增教师19人所致。其中：基本支出</w:t>
      </w:r>
      <w:r>
        <w:rPr>
          <w:rFonts w:ascii="方正仿宋_GBK" w:hAnsi="方正仿宋_GBK" w:eastAsia="方正仿宋_GBK" w:cs="方正仿宋_GBK"/>
          <w:sz w:val="32"/>
          <w:szCs w:val="32"/>
        </w:rPr>
        <w:t>1050.61</w:t>
      </w:r>
      <w:r>
        <w:rPr>
          <w:rFonts w:ascii="方正仿宋_GBK" w:hAnsi="方正仿宋_GBK" w:eastAsia="方正仿宋_GBK" w:cs="方正仿宋_GBK"/>
          <w:sz w:val="32"/>
          <w:szCs w:val="32"/>
          <w:shd w:val="clear" w:color="auto" w:fill="FFFFFF"/>
        </w:rPr>
        <w:t>万元，占65.01%；项目支出</w:t>
      </w:r>
      <w:r>
        <w:rPr>
          <w:rFonts w:ascii="方正仿宋_GBK" w:hAnsi="方正仿宋_GBK" w:eastAsia="方正仿宋_GBK" w:cs="方正仿宋_GBK"/>
          <w:sz w:val="32"/>
          <w:szCs w:val="32"/>
        </w:rPr>
        <w:t>565.37</w:t>
      </w:r>
      <w:r>
        <w:rPr>
          <w:rFonts w:ascii="方正仿宋_GBK" w:hAnsi="方正仿宋_GBK" w:eastAsia="方正仿宋_GBK" w:cs="方正仿宋_GBK"/>
          <w:sz w:val="32"/>
          <w:szCs w:val="32"/>
          <w:shd w:val="clear" w:color="auto" w:fill="FFFFFF"/>
        </w:rPr>
        <w:t>万元，占34.99%；经营支出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10.46</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2024年度财政拨款收、支总计1433.38万元。与2023年相比，财政拨款收、支总计各增加726.47万元，增长102.77%。主要原因是新校区建设工程继续实施和新增教师19人所致。</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1433.38</w:t>
      </w:r>
      <w:r>
        <w:rPr>
          <w:rFonts w:ascii="方正仿宋_GBK" w:hAnsi="方正仿宋_GBK" w:eastAsia="方正仿宋_GBK" w:cs="方正仿宋_GBK"/>
          <w:sz w:val="32"/>
          <w:szCs w:val="32"/>
          <w:shd w:val="clear" w:color="auto" w:fill="FFFFFF"/>
        </w:rPr>
        <w:t>万元，与2023年度相比，增加730.57万元，增长103.95%。主要原因是新校区建设工程继续实施和新增教师19人所致。较年初预算数增加508.58万元，增长54.99%。主要原因是追加新校区建设工程款和新增教师19人的人员经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1433.38</w:t>
      </w:r>
      <w:r>
        <w:rPr>
          <w:rFonts w:ascii="方正仿宋_GBK" w:hAnsi="方正仿宋_GBK" w:eastAsia="方正仿宋_GBK" w:cs="方正仿宋_GBK"/>
          <w:sz w:val="32"/>
          <w:szCs w:val="32"/>
          <w:shd w:val="clear" w:color="auto" w:fill="FFFFFF"/>
        </w:rPr>
        <w:t>万元，与2023年度相比，增加726.47万元，增长102.77%。主要原因是新校区建设工程继续实施和新增教师19人所致。较年初预算数增加508.58万元，增长54.99%。主要原因是追加新校区建设工程款和新增教师19人的人员经费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1221.51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85.22</w:t>
      </w:r>
      <w:r>
        <w:rPr>
          <w:rFonts w:ascii="方正仿宋_GBK" w:hAnsi="方正仿宋_GBK" w:eastAsia="方正仿宋_GBK" w:cs="方正仿宋_GBK"/>
          <w:sz w:val="32"/>
          <w:szCs w:val="32"/>
          <w:shd w:val="clear" w:color="auto" w:fill="FFFFFF"/>
        </w:rPr>
        <w:t>%，较年初预算数增加408.33万元，增长50.21%，主要原因是追加新校区建设工程款和新增教师19人的工资津补贴等。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130.47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9.10</w:t>
      </w:r>
      <w:r>
        <w:rPr>
          <w:rFonts w:ascii="方正仿宋_GBK" w:hAnsi="方正仿宋_GBK" w:eastAsia="方正仿宋_GBK" w:cs="方正仿宋_GBK"/>
          <w:sz w:val="32"/>
          <w:szCs w:val="32"/>
          <w:shd w:val="clear" w:color="auto" w:fill="FFFFFF"/>
        </w:rPr>
        <w:t>%，较年初预算数增加72.24万元，增长124.06%，主要原因是追加新增教师19人的养老保险和职业年金缴费。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37.48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2.61</w:t>
      </w:r>
      <w:r>
        <w:rPr>
          <w:rFonts w:ascii="方正仿宋_GBK" w:hAnsi="方正仿宋_GBK" w:eastAsia="方正仿宋_GBK" w:cs="方正仿宋_GBK"/>
          <w:sz w:val="32"/>
          <w:szCs w:val="32"/>
          <w:shd w:val="clear" w:color="auto" w:fill="FFFFFF"/>
        </w:rPr>
        <w:t>%，较年初预算数增加13.22万元，增长54.49%，主要原因是追加新增教师19人的医疗保险缴费。</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住房保障支出43.92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3.06</w:t>
      </w:r>
      <w:r>
        <w:rPr>
          <w:rFonts w:ascii="方正仿宋_GBK" w:hAnsi="方正仿宋_GBK" w:eastAsia="方正仿宋_GBK" w:cs="方正仿宋_GBK"/>
          <w:sz w:val="32"/>
          <w:szCs w:val="32"/>
          <w:shd w:val="clear" w:color="auto" w:fill="FFFFFF"/>
        </w:rPr>
        <w:t>%，较年初预算数增加14.80万元，增长50.82%，主要原因是追加新增教师19人的住房公积金缴费。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876.40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868.35</w:t>
      </w:r>
      <w:r>
        <w:rPr>
          <w:rFonts w:ascii="方正仿宋_GBK" w:hAnsi="方正仿宋_GBK" w:eastAsia="方正仿宋_GBK" w:cs="方正仿宋_GBK"/>
          <w:sz w:val="32"/>
          <w:szCs w:val="32"/>
          <w:shd w:val="clear" w:color="auto" w:fill="FFFFFF"/>
        </w:rPr>
        <w:t>万元，与2023年度相比，增加375.78万元，增长76.29%，主要原因是</w:t>
      </w:r>
      <w:r>
        <w:rPr>
          <w:rFonts w:hint="eastAsia" w:ascii="方正仿宋_GBK" w:hAnsi="方正仿宋_GBK" w:eastAsia="方正仿宋_GBK" w:cs="方正仿宋_GBK"/>
          <w:sz w:val="32"/>
          <w:szCs w:val="32"/>
          <w:shd w:val="clear" w:color="auto" w:fill="FFFFFF"/>
        </w:rPr>
        <w:t>新增</w:t>
      </w:r>
      <w:r>
        <w:rPr>
          <w:rFonts w:ascii="方正仿宋_GBK" w:hAnsi="方正仿宋_GBK" w:eastAsia="方正仿宋_GBK" w:cs="方正仿宋_GBK"/>
          <w:sz w:val="32"/>
          <w:szCs w:val="32"/>
          <w:shd w:val="clear" w:color="auto" w:fill="FFFFFF"/>
        </w:rPr>
        <w:t>教师</w:t>
      </w:r>
      <w:r>
        <w:rPr>
          <w:rFonts w:hint="eastAsia" w:ascii="方正仿宋_GBK" w:hAnsi="方正仿宋_GBK" w:eastAsia="方正仿宋_GBK" w:cs="方正仿宋_GBK"/>
          <w:sz w:val="32"/>
          <w:szCs w:val="32"/>
          <w:shd w:val="clear" w:color="auto" w:fill="FFFFFF"/>
        </w:rPr>
        <w:t>19人及教职工正常晋升、职级变化等</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8.05</w:t>
      </w:r>
      <w:r>
        <w:rPr>
          <w:rFonts w:ascii="方正仿宋_GBK" w:hAnsi="方正仿宋_GBK" w:eastAsia="方正仿宋_GBK" w:cs="方正仿宋_GBK"/>
          <w:sz w:val="32"/>
          <w:szCs w:val="32"/>
          <w:shd w:val="clear" w:color="auto" w:fill="FFFFFF"/>
        </w:rPr>
        <w:t>万元，与2023年度相比，增加0.65万元，增长8.78%，主要原因是工会经费、培训费、福利费的预算基数</w:t>
      </w:r>
      <w:r>
        <w:rPr>
          <w:rFonts w:hint="eastAsia"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shd w:val="clear" w:color="auto" w:fill="FFFFFF"/>
        </w:rPr>
        <w:t>所致。公用经费用途主要包括</w:t>
      </w:r>
      <w:r>
        <w:rPr>
          <w:rFonts w:ascii="方正仿宋_GBK" w:eastAsia="方正仿宋_GBK"/>
          <w:sz w:val="32"/>
          <w:szCs w:val="32"/>
        </w:rPr>
        <w:t>学校师资培训、教职工体检和工作餐等福利、工会补助等支</w:t>
      </w:r>
      <w:r>
        <w:rPr>
          <w:rFonts w:hint="eastAsia" w:ascii="方正仿宋_GBK" w:eastAsia="方正仿宋_GBK"/>
          <w:sz w:val="32"/>
          <w:szCs w:val="32"/>
          <w:lang w:val="en-US" w:eastAsia="zh-CN"/>
        </w:rPr>
        <w:t>出</w:t>
      </w:r>
      <w:bookmarkStart w:id="0" w:name="_GoBack"/>
      <w:bookmarkEnd w:id="0"/>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5.66</w:t>
      </w:r>
      <w:r>
        <w:rPr>
          <w:rFonts w:ascii="方正仿宋_GBK" w:hAnsi="方正仿宋_GBK" w:eastAsia="方正仿宋_GBK" w:cs="方正仿宋_GBK"/>
          <w:sz w:val="32"/>
          <w:szCs w:val="32"/>
          <w:shd w:val="clear" w:color="auto" w:fill="FFFFFF"/>
        </w:rPr>
        <w:t>万元，与2023年度相比，增加4.00万元，增长240.96%，主要原因是学校加大了师资队伍的建设和培训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70.76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70.76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70.76万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53.88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76.14</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根据预算绩效管理要求，我单位对8个二级项目开展了绩效自评，涉及财政拨款项目支出资金556.98万元。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53380" cy="4879340"/>
            <wp:effectExtent l="0" t="0" r="444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453380" cy="4879340"/>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401945" cy="5367020"/>
            <wp:effectExtent l="0" t="0" r="8255"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01945" cy="536702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易老师   023-81869831</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垫江县西湖小学校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1,433.38</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25.00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1,404.10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168.06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130.47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37.48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43.92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1,626.44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1,615.98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1,626.44</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1,626.44</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垫江县西湖小学校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1,626.44</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1,433.38</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168.06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1,414.57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1,221.51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1,413.42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1,220.36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1,413.42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1,220.36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168.06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86.98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86.98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43.49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43.49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37.48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37.48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43.92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43.92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垫江县西湖小学校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1,615.98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1,050.61</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565.37</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1,404.10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838.74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565.37</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1,402.96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837.59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565.37</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1,402.96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837.59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565.37</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86.98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86.98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43.49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43.49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37.48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37.48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43.92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43.92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垫江县西湖小学校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1,433.38</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1,221.51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1,221.51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130.47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130.47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37.48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37.48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43.92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43.92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1,433.38</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1,433.38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1,433.38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1,433.38</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1,433.38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1,433.38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垫江县西湖小学校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1,433.38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876.40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556.98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1,221.51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664.53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556.98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1,220.36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663.38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556.98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1,220.36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663.38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556.98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130.47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86.98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86.98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43.49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43.49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37.48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37.48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37.48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43.92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43.92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43.92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垫江县西湖小学校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868.35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211.06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431.02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86.98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37.48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0.73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43.92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868.35</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8.05</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垫江县西湖小学校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垫江县西湖小学校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垫江县西湖小学校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70.76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70.76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70.76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53.88</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5.66</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0.58</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4666D"/>
    <w:rsid w:val="002B254B"/>
    <w:rsid w:val="00466C9B"/>
    <w:rsid w:val="00467384"/>
    <w:rsid w:val="00550ABE"/>
    <w:rsid w:val="005528E8"/>
    <w:rsid w:val="00770383"/>
    <w:rsid w:val="007819D4"/>
    <w:rsid w:val="007B419D"/>
    <w:rsid w:val="007B7C4B"/>
    <w:rsid w:val="007D3D39"/>
    <w:rsid w:val="00994AF7"/>
    <w:rsid w:val="009B67B8"/>
    <w:rsid w:val="009D2B67"/>
    <w:rsid w:val="00A566F9"/>
    <w:rsid w:val="00AF2751"/>
    <w:rsid w:val="00B03CCD"/>
    <w:rsid w:val="00B70CFE"/>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6B1AB7"/>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4A2B1F"/>
    <w:rsid w:val="163A6CEE"/>
    <w:rsid w:val="173708E3"/>
    <w:rsid w:val="17C374FC"/>
    <w:rsid w:val="182E4AB6"/>
    <w:rsid w:val="18323EE4"/>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511972"/>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950D08"/>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DFE23DA"/>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8110</Words>
  <Characters>10507</Characters>
  <Lines>95</Lines>
  <Paragraphs>26</Paragraphs>
  <TotalTime>1</TotalTime>
  <ScaleCrop>false</ScaleCrop>
  <LinksUpToDate>false</LinksUpToDate>
  <CharactersWithSpaces>11504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2025-09-23T02:23:46Z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