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垫江县武安小学校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2024年</w:t>
      </w:r>
      <w:r>
        <w:rPr>
          <w:rFonts w:ascii="方正小标宋_GBK" w:hAnsi="方正小标宋_GBK" w:eastAsia="方正小标宋_GBK" w:cs="方正小标宋_GBK"/>
          <w:sz w:val="44"/>
          <w:szCs w:val="44"/>
        </w:rPr>
        <w:t>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576" w:lineRule="exact"/>
        <w:ind w:firstLine="640" w:firstLineChars="200"/>
        <w:rPr>
          <w:rFonts w:eastAsia="方正仿宋_GBK"/>
          <w:sz w:val="32"/>
        </w:rPr>
      </w:pPr>
      <w:r>
        <w:rPr>
          <w:rFonts w:eastAsia="方正仿宋_GBK"/>
          <w:sz w:val="32"/>
        </w:rPr>
        <w:t>1</w:t>
      </w:r>
      <w:r>
        <w:rPr>
          <w:rFonts w:hint="eastAsia" w:eastAsia="方正仿宋_GBK"/>
          <w:sz w:val="32"/>
          <w:lang w:val="en-US" w:eastAsia="zh-CN"/>
        </w:rPr>
        <w:t>.</w:t>
      </w:r>
      <w:r>
        <w:rPr>
          <w:rFonts w:eastAsia="方正仿宋_GBK"/>
          <w:sz w:val="32"/>
        </w:rPr>
        <w:t>负责辖区适龄儿童义务教育工作。</w:t>
      </w:r>
    </w:p>
    <w:p>
      <w:pPr>
        <w:spacing w:line="576" w:lineRule="exact"/>
        <w:ind w:firstLine="640" w:firstLineChars="200"/>
        <w:rPr>
          <w:rFonts w:eastAsia="方正仿宋_GBK"/>
          <w:sz w:val="32"/>
        </w:rPr>
      </w:pPr>
      <w:r>
        <w:rPr>
          <w:rFonts w:eastAsia="方正仿宋_GBK"/>
          <w:sz w:val="32"/>
        </w:rPr>
        <w:t>2</w:t>
      </w:r>
      <w:r>
        <w:rPr>
          <w:rFonts w:hint="eastAsia" w:eastAsia="方正仿宋_GBK"/>
          <w:sz w:val="32"/>
          <w:lang w:val="en-US" w:eastAsia="zh-CN"/>
        </w:rPr>
        <w:t>.</w:t>
      </w:r>
      <w:r>
        <w:rPr>
          <w:rFonts w:eastAsia="方正仿宋_GBK"/>
          <w:sz w:val="32"/>
        </w:rPr>
        <w:t>负责辖区学前儿童教育与保育工作。</w:t>
      </w:r>
    </w:p>
    <w:p>
      <w:pPr>
        <w:pStyle w:val="16"/>
        <w:tabs>
          <w:tab w:val="center" w:pos="4153"/>
          <w:tab w:val="left" w:pos="7275"/>
        </w:tabs>
        <w:spacing w:line="576" w:lineRule="exact"/>
        <w:ind w:firstLine="643"/>
        <w:jc w:val="left"/>
        <w:rPr>
          <w:rFonts w:eastAsia="方正楷体_GBK"/>
          <w:b/>
          <w:sz w:val="32"/>
        </w:rPr>
      </w:pPr>
      <w:r>
        <w:rPr>
          <w:rFonts w:eastAsia="方正楷体_GBK"/>
          <w:b/>
          <w:sz w:val="32"/>
        </w:rPr>
        <w:t>（二）</w:t>
      </w:r>
      <w:r>
        <w:rPr>
          <w:rFonts w:hint="eastAsia" w:eastAsia="方正楷体_GBK"/>
          <w:b/>
          <w:sz w:val="32"/>
        </w:rPr>
        <w:t>机构设置</w:t>
      </w:r>
    </w:p>
    <w:p>
      <w:pPr>
        <w:spacing w:line="600" w:lineRule="exact"/>
        <w:ind w:firstLine="640" w:firstLineChars="200"/>
        <w:rPr>
          <w:rFonts w:eastAsia="方正仿宋_GBK"/>
          <w:sz w:val="32"/>
        </w:rPr>
      </w:pPr>
      <w:r>
        <w:rPr>
          <w:rFonts w:eastAsia="方正仿宋_GBK"/>
          <w:sz w:val="32"/>
        </w:rPr>
        <w:t>学校领导职数3名(校长1名、副校长2名)，内设机构领导职数4名学校内设机构四个，内设机构有德育处、教务处、教科处、后勤处。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spacing w:line="600" w:lineRule="exact"/>
        <w:ind w:firstLine="643" w:firstLineChars="200"/>
        <w:rPr>
          <w:rFonts w:eastAsia="方正楷体_GBK"/>
          <w:b/>
          <w:bCs/>
          <w:sz w:val="32"/>
          <w:szCs w:val="32"/>
        </w:rPr>
      </w:pPr>
      <w:r>
        <w:rPr>
          <w:rFonts w:hint="eastAsia" w:eastAsia="方正楷体_GBK"/>
          <w:b/>
          <w:bCs/>
          <w:sz w:val="32"/>
          <w:szCs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度收入总计2226.46万元，支出总计</w:t>
      </w:r>
      <w:r>
        <w:rPr>
          <w:rFonts w:ascii="方正仿宋_GBK" w:hAnsi="方正仿宋_GBK" w:eastAsia="方正仿宋_GBK" w:cs="方正仿宋_GBK"/>
          <w:sz w:val="32"/>
          <w:szCs w:val="32"/>
        </w:rPr>
        <w:t>2226.46</w:t>
      </w:r>
      <w:r>
        <w:rPr>
          <w:rFonts w:ascii="方正仿宋_GBK" w:hAnsi="方正仿宋_GBK" w:eastAsia="方正仿宋_GBK" w:cs="方正仿宋_GBK"/>
          <w:sz w:val="32"/>
          <w:szCs w:val="32"/>
          <w:shd w:val="clear" w:color="auto" w:fill="FFFFFF"/>
        </w:rPr>
        <w:t>万元。收、支与2023年度相比，减少848.41万元，下降27.59%，主要原因是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且本年因教师人数减少致人员经费减少，学生人数减少致公用经费、事业收入及课后延时服务费减少，本年教学楼危改工程已完工致项目支出减少。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度收入合计2218.71万元，与2023年度相比，减少796.98万元，下降26.43%，主要原因是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且本年因教师人数减少致人员经费减少，学生人数减少致公用经费、事业收入及课后延时服务费减少，本年教学楼危改工程已完工致项目支出减少。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2064.25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93.04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55.63</w:t>
      </w:r>
      <w:r>
        <w:rPr>
          <w:rFonts w:ascii="方正仿宋_GBK" w:hAnsi="方正仿宋_GBK" w:eastAsia="方正仿宋_GBK" w:cs="方正仿宋_GBK"/>
          <w:sz w:val="32"/>
          <w:szCs w:val="32"/>
          <w:shd w:val="clear" w:color="auto" w:fill="FFFFFF"/>
        </w:rPr>
        <w:t>万元，占2.51%；经营收入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98.83</w:t>
      </w:r>
      <w:r>
        <w:rPr>
          <w:rFonts w:ascii="方正仿宋_GBK" w:hAnsi="方正仿宋_GBK" w:eastAsia="方正仿宋_GBK" w:cs="方正仿宋_GBK"/>
          <w:sz w:val="32"/>
          <w:szCs w:val="32"/>
          <w:shd w:val="clear" w:color="auto" w:fill="FFFFFF"/>
        </w:rPr>
        <w:t>万元，占4.45%。此外，使用非财政拨款结余和专用结余</w:t>
      </w:r>
      <w:r>
        <w:rPr>
          <w:rFonts w:ascii="方正仿宋_GBK" w:hAnsi="方正仿宋_GBK" w:eastAsia="方正仿宋_GBK" w:cs="方正仿宋_GBK"/>
          <w:sz w:val="32"/>
          <w:szCs w:val="32"/>
        </w:rPr>
        <w:t>3.54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4.20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2193.53</w:t>
      </w:r>
      <w:r>
        <w:rPr>
          <w:rFonts w:ascii="方正仿宋_GBK" w:hAnsi="方正仿宋_GBK" w:eastAsia="方正仿宋_GBK" w:cs="方正仿宋_GBK"/>
          <w:sz w:val="32"/>
          <w:szCs w:val="32"/>
          <w:shd w:val="clear" w:color="auto" w:fill="FFFFFF"/>
        </w:rPr>
        <w:t>万元，与2023年度相比，减少762.20万元，下降25.79%，主要原因是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且本年因教师人数减少致人员经费减少，学生人数减少致公用经费、事业收入及课后延时服务费减少，本年教学楼危改工程已完工致项目支出减少。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1871.76</w:t>
      </w:r>
      <w:r>
        <w:rPr>
          <w:rFonts w:ascii="方正仿宋_GBK" w:hAnsi="方正仿宋_GBK" w:eastAsia="方正仿宋_GBK" w:cs="方正仿宋_GBK"/>
          <w:sz w:val="32"/>
          <w:szCs w:val="32"/>
          <w:shd w:val="clear" w:color="auto" w:fill="FFFFFF"/>
        </w:rPr>
        <w:t>万元，占85.33%；项目支出</w:t>
      </w:r>
      <w:r>
        <w:rPr>
          <w:rFonts w:ascii="方正仿宋_GBK" w:hAnsi="方正仿宋_GBK" w:eastAsia="方正仿宋_GBK" w:cs="方正仿宋_GBK"/>
          <w:sz w:val="32"/>
          <w:szCs w:val="32"/>
        </w:rPr>
        <w:t>321.78</w:t>
      </w:r>
      <w:r>
        <w:rPr>
          <w:rFonts w:ascii="方正仿宋_GBK" w:hAnsi="方正仿宋_GBK" w:eastAsia="方正仿宋_GBK" w:cs="方正仿宋_GBK"/>
          <w:sz w:val="32"/>
          <w:szCs w:val="32"/>
          <w:shd w:val="clear" w:color="auto" w:fill="FFFFFF"/>
        </w:rPr>
        <w:t>万元，占14.67%；经营支出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32.92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度财政拨款收、支总计2064.25万元。与202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年相比，财政拨款收、支总计各减少789.69万元，下降27.67%。主要原因是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且本年因教师人数减少致人员经费减少，学生人数减少致公用经费减少，本年教学楼危改工程已完工致项目支出减少。</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2064.25</w:t>
      </w:r>
      <w:r>
        <w:rPr>
          <w:rFonts w:ascii="方正仿宋_GBK" w:hAnsi="方正仿宋_GBK" w:eastAsia="方正仿宋_GBK" w:cs="方正仿宋_GBK"/>
          <w:sz w:val="32"/>
          <w:szCs w:val="32"/>
          <w:shd w:val="clear" w:color="auto" w:fill="FFFFFF"/>
        </w:rPr>
        <w:t>万元，与2023年度相比，减少789.33万元，下降27.66%。主要原因是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且本年因教师人数减少致人员经费减少，学生人数减少致公用经费减少，本年教学楼危改工程已完工致项目支出减少。</w:t>
      </w:r>
      <w:r>
        <w:rPr>
          <w:rFonts w:ascii="方正仿宋_GBK" w:hAnsi="方正仿宋_GBK" w:eastAsia="方正仿宋_GBK" w:cs="方正仿宋_GBK"/>
          <w:sz w:val="32"/>
          <w:szCs w:val="32"/>
          <w:shd w:val="clear" w:color="auto" w:fill="FFFFFF"/>
        </w:rPr>
        <w:t>较年初预算数增加225.32万元，增长12.25%。</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2064.25</w:t>
      </w:r>
      <w:r>
        <w:rPr>
          <w:rFonts w:ascii="方正仿宋_GBK" w:hAnsi="方正仿宋_GBK" w:eastAsia="方正仿宋_GBK" w:cs="方正仿宋_GBK"/>
          <w:sz w:val="32"/>
          <w:szCs w:val="32"/>
          <w:shd w:val="clear" w:color="auto" w:fill="FFFFFF"/>
        </w:rPr>
        <w:t>万元，与2023年度相比，减少789.69万元，下降27.67%。主要原因是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且本年因教师人数减少致人员经费减少，学生人数减少致公用经费减少，本年教学楼危改工程已完工致项目支出减少。</w:t>
      </w:r>
      <w:r>
        <w:rPr>
          <w:rFonts w:ascii="方正仿宋_GBK" w:hAnsi="方正仿宋_GBK" w:eastAsia="方正仿宋_GBK" w:cs="方正仿宋_GBK"/>
          <w:sz w:val="32"/>
          <w:szCs w:val="32"/>
          <w:shd w:val="clear" w:color="auto" w:fill="FFFFFF"/>
        </w:rPr>
        <w:t>较年初预算数增加225.32万元，增长12.25%。</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1474.75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71.44</w:t>
      </w:r>
      <w:r>
        <w:rPr>
          <w:rFonts w:ascii="方正仿宋_GBK" w:hAnsi="方正仿宋_GBK" w:eastAsia="方正仿宋_GBK" w:cs="方正仿宋_GBK"/>
          <w:sz w:val="32"/>
          <w:szCs w:val="32"/>
          <w:shd w:val="clear" w:color="auto" w:fill="FFFFFF"/>
        </w:rPr>
        <w:t>%，较年初预算数增加137.99万元，增长10.32%，</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448.19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21.71</w:t>
      </w:r>
      <w:r>
        <w:rPr>
          <w:rFonts w:ascii="方正仿宋_GBK" w:hAnsi="方正仿宋_GBK" w:eastAsia="方正仿宋_GBK" w:cs="方正仿宋_GBK"/>
          <w:sz w:val="32"/>
          <w:szCs w:val="32"/>
          <w:shd w:val="clear" w:color="auto" w:fill="FFFFFF"/>
        </w:rPr>
        <w:t>%，较年初预算数增加95.54万元，增长27.09%，主要原因是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%，较年初预算数减少4.03万元，下降5.93%，</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住房保障支出77.38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%，较年初预算数减少4.17万元，下降5.11%，</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1750.60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1718.00</w:t>
      </w:r>
      <w:r>
        <w:rPr>
          <w:rFonts w:ascii="方正仿宋_GBK" w:hAnsi="方正仿宋_GBK" w:eastAsia="方正仿宋_GBK" w:cs="方正仿宋_GBK"/>
          <w:sz w:val="32"/>
          <w:szCs w:val="32"/>
          <w:shd w:val="clear" w:color="auto" w:fill="FFFFFF"/>
        </w:rPr>
        <w:t>万元，与2023年度相比，减少255.33万元，下降12.94%，主要原因是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32.60</w:t>
      </w:r>
      <w:r>
        <w:rPr>
          <w:rFonts w:ascii="方正仿宋_GBK" w:hAnsi="方正仿宋_GBK" w:eastAsia="方正仿宋_GBK" w:cs="方正仿宋_GBK"/>
          <w:sz w:val="32"/>
          <w:szCs w:val="32"/>
          <w:shd w:val="clear" w:color="auto" w:fill="FFFFFF"/>
        </w:rPr>
        <w:t>万元，与2023年度相比，减少4.17万元，下降11.34%，</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hint="default" w:ascii="方正仿宋_GBK" w:hAnsi="方正仿宋_GBK" w:eastAsia="方正仿宋_GBK" w:cs="方正仿宋_GBK"/>
          <w:sz w:val="32"/>
          <w:szCs w:val="32"/>
          <w:shd w:val="clear" w:color="auto" w:fill="FFFFFF"/>
          <w:lang w:eastAsia="zh-CN"/>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rPr>
        <w:t>本单位2024年度无政府性基金预算财政拨款收支。</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rPr>
        <w:t>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万元，与2023年度相比，增加1.51万元，增长23.27%，</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w:t>
      </w:r>
      <w:r>
        <w:rPr>
          <w:rFonts w:hint="eastAsia" w:ascii="方正仿宋_GBK" w:hAnsi="方正仿宋_GBK" w:eastAsia="方正仿宋_GBK" w:cs="方正仿宋_GBK"/>
          <w:sz w:val="32"/>
          <w:szCs w:val="32"/>
          <w:shd w:val="clear" w:color="auto" w:fill="FFFFFF"/>
          <w:lang w:eastAsia="zh-CN"/>
        </w:rPr>
        <w:t>加大教职工培训力度致培训费增加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2</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313.66</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425440" cy="4768850"/>
            <wp:effectExtent l="0" t="0" r="381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425440" cy="476885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highlight w:val="red"/>
          <w:shd w:val="clear" w:color="auto" w:fill="FFFFFF"/>
          <w:lang w:val="en-US"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678170"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67817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 xml:space="preserve">周老师   </w:t>
      </w:r>
      <w:r>
        <w:rPr>
          <w:rFonts w:ascii="方正仿宋_GBK" w:hAnsi="方正仿宋_GBK" w:eastAsia="方正仿宋_GBK" w:cs="方正仿宋_GBK"/>
          <w:sz w:val="32"/>
        </w:rPr>
        <w:t>023-74576806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垫江县武安小学校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2,064.25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2,218.71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2,193.53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2,226.46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2,226.46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垫江县武安小学校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2,218.71</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2,064.25</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55.63</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55.63</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1,629.21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1,474.75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1,625.97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1,471.51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55.63</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55.63</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55.63</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1,556.21</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1,457.38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448.19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448.19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垫江县武安小学校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2,193.53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1,871.76</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321.78</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1,604.03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1,282.89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1,279.65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321.15</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1,523.29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1,223.08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300.22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448.19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447.56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440.23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0.63</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垫江县武安小学校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1,474.75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1,474.75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2,064.25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垫江县武安小学校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2,064.25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1,750.60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1,474.75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1,161.72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1,471.51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1,158.48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313.03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1,457.38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1,158.48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448.19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447.56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440.23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157.58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204.64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77.38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垫江县武安小学校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365.14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702.82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172.80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1,718.00</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垫江县武安小学校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垫江县武安小学校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垫江县武安小学校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6E2C5D"/>
    <w:rsid w:val="24B92327"/>
    <w:rsid w:val="24C14514"/>
    <w:rsid w:val="2533755C"/>
    <w:rsid w:val="25791755"/>
    <w:rsid w:val="26396DF4"/>
    <w:rsid w:val="27167136"/>
    <w:rsid w:val="271B442C"/>
    <w:rsid w:val="27B23302"/>
    <w:rsid w:val="29310A5F"/>
    <w:rsid w:val="29C37A35"/>
    <w:rsid w:val="2A076083"/>
    <w:rsid w:val="2A73162E"/>
    <w:rsid w:val="2B167953"/>
    <w:rsid w:val="2B200583"/>
    <w:rsid w:val="2B3445ED"/>
    <w:rsid w:val="2B8209DE"/>
    <w:rsid w:val="2C636760"/>
    <w:rsid w:val="2C6762A3"/>
    <w:rsid w:val="2E625944"/>
    <w:rsid w:val="2FCA4B37"/>
    <w:rsid w:val="2FE029D7"/>
    <w:rsid w:val="2FF06E00"/>
    <w:rsid w:val="30586FEC"/>
    <w:rsid w:val="315F0B22"/>
    <w:rsid w:val="31CA6200"/>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060FD"/>
    <w:rsid w:val="42E86A87"/>
    <w:rsid w:val="43307B09"/>
    <w:rsid w:val="439A3EB9"/>
    <w:rsid w:val="43BB152F"/>
    <w:rsid w:val="44C37687"/>
    <w:rsid w:val="45CB699A"/>
    <w:rsid w:val="45E2495B"/>
    <w:rsid w:val="465B470D"/>
    <w:rsid w:val="469D6AD4"/>
    <w:rsid w:val="471E6C84"/>
    <w:rsid w:val="4748792B"/>
    <w:rsid w:val="475D719D"/>
    <w:rsid w:val="47674801"/>
    <w:rsid w:val="48167E7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7D2768"/>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C4325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6942</Words>
  <Characters>9115</Characters>
  <Lines>190</Lines>
  <Paragraphs>53</Paragraphs>
  <TotalTime>0</TotalTime>
  <ScaleCrop>false</ScaleCrop>
  <LinksUpToDate>false</LinksUpToDate>
  <CharactersWithSpaces>9651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