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垫江县黄沙小学校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eastAsia="方正仿宋_GBK"/>
          <w:sz w:val="32"/>
        </w:rPr>
      </w:pPr>
      <w:r>
        <w:rPr>
          <w:rFonts w:eastAsia="方正仿宋_GBK"/>
          <w:sz w:val="32"/>
        </w:rPr>
        <w:t>实施小学义务教育。适龄儿童义务教育；全面推进素质教育；学校卫生、安全、稳定；学校经费与校产管理；师资队伍建设；学前儿童教育与保育，制定本区域教育发展规划。</w:t>
      </w:r>
    </w:p>
    <w:p>
      <w:pPr>
        <w:spacing w:line="600" w:lineRule="exact"/>
        <w:ind w:firstLine="643" w:firstLineChars="200"/>
        <w:rPr>
          <w:rFonts w:eastAsia="方正楷体_GBK"/>
          <w:b/>
          <w:sz w:val="32"/>
        </w:rPr>
      </w:pPr>
      <w:r>
        <w:rPr>
          <w:rFonts w:hAnsi="方正楷体_GBK" w:eastAsia="方正楷体_GBK"/>
          <w:b/>
          <w:sz w:val="32"/>
        </w:rPr>
        <w:t>（二）机构设置</w:t>
      </w:r>
    </w:p>
    <w:p>
      <w:pPr>
        <w:pStyle w:val="6"/>
        <w:shd w:val="clear" w:color="auto" w:fill="FFFFFF"/>
        <w:spacing w:before="0" w:beforeAutospacing="0" w:after="0" w:afterAutospacing="0" w:line="600" w:lineRule="exact"/>
        <w:ind w:firstLine="640" w:firstLineChars="200"/>
        <w:rPr>
          <w:rFonts w:eastAsia="方正仿宋_GBK"/>
          <w:sz w:val="32"/>
        </w:rPr>
      </w:pPr>
      <w:r>
        <w:rPr>
          <w:rFonts w:eastAsia="方正仿宋_GBK"/>
          <w:sz w:val="32"/>
        </w:rPr>
        <w:t>学校单位领导职数4名(校长1名、副校长3名)，内设机构领导职数4名，内设机构有德育处、教务处、教科处、后勤处。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2024年度收入总计1523.72万元，支出总计</w:t>
      </w:r>
      <w:r>
        <w:rPr>
          <w:rFonts w:ascii="方正仿宋_GBK" w:hAnsi="方正仿宋_GBK" w:eastAsia="方正仿宋_GBK" w:cs="方正仿宋_GBK"/>
          <w:sz w:val="32"/>
          <w:szCs w:val="32"/>
        </w:rPr>
        <w:t>1523.72</w:t>
      </w:r>
      <w:r>
        <w:rPr>
          <w:rFonts w:ascii="方正仿宋_GBK" w:hAnsi="方正仿宋_GBK" w:eastAsia="方正仿宋_GBK" w:cs="方正仿宋_GBK"/>
          <w:sz w:val="32"/>
          <w:szCs w:val="32"/>
          <w:shd w:val="clear" w:color="auto" w:fill="FFFFFF"/>
        </w:rPr>
        <w:t>万元。收、支与2023年度相比，减少51.18万元，下降3.25%，主要原因是2023年清算补发以前年度超额绩效和健康休养费。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2024年度收入合计1523.72万元，与2023年度相比，减少29.48万元，下降1.90%，主要原因是2023年清算补发以前年度超额绩效和健康休养费。其中：财政拨款收入</w:t>
      </w:r>
      <w:r>
        <w:rPr>
          <w:rFonts w:ascii="方正仿宋_GBK" w:hAnsi="方正仿宋_GBK" w:eastAsia="方正仿宋_GBK" w:cs="方正仿宋_GBK"/>
          <w:sz w:val="32"/>
          <w:szCs w:val="32"/>
        </w:rPr>
        <w:t>1452.25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95.31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20.09</w:t>
      </w:r>
      <w:r>
        <w:rPr>
          <w:rFonts w:ascii="方正仿宋_GBK" w:hAnsi="方正仿宋_GBK" w:eastAsia="方正仿宋_GBK" w:cs="方正仿宋_GBK"/>
          <w:sz w:val="32"/>
          <w:szCs w:val="32"/>
          <w:shd w:val="clear" w:color="auto" w:fill="FFFFFF"/>
        </w:rPr>
        <w:t>万元，占1.32%；经营收入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51.38</w:t>
      </w:r>
      <w:r>
        <w:rPr>
          <w:rFonts w:ascii="方正仿宋_GBK" w:hAnsi="方正仿宋_GBK" w:eastAsia="方正仿宋_GBK" w:cs="方正仿宋_GBK"/>
          <w:sz w:val="32"/>
          <w:szCs w:val="32"/>
          <w:shd w:val="clear" w:color="auto" w:fill="FFFFFF"/>
        </w:rPr>
        <w:t>万元，占3.37%。此外，使用非财政拨款结余和专用结余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1512.74</w:t>
      </w:r>
      <w:r>
        <w:rPr>
          <w:rFonts w:ascii="方正仿宋_GBK" w:hAnsi="方正仿宋_GBK" w:eastAsia="方正仿宋_GBK" w:cs="方正仿宋_GBK"/>
          <w:sz w:val="32"/>
          <w:szCs w:val="32"/>
          <w:shd w:val="clear" w:color="auto" w:fill="FFFFFF"/>
        </w:rPr>
        <w:t>万元，与2023年度相比，减少50.36万元，下降3.22%，主要原因是2023年清算补发以前年度超额绩效和健康休养费。其中：基本支出</w:t>
      </w:r>
      <w:r>
        <w:rPr>
          <w:rFonts w:ascii="方正仿宋_GBK" w:hAnsi="方正仿宋_GBK" w:eastAsia="方正仿宋_GBK" w:cs="方正仿宋_GBK"/>
          <w:sz w:val="32"/>
          <w:szCs w:val="32"/>
        </w:rPr>
        <w:t>1290.36</w:t>
      </w:r>
      <w:r>
        <w:rPr>
          <w:rFonts w:ascii="方正仿宋_GBK" w:hAnsi="方正仿宋_GBK" w:eastAsia="方正仿宋_GBK" w:cs="方正仿宋_GBK"/>
          <w:sz w:val="32"/>
          <w:szCs w:val="32"/>
          <w:shd w:val="clear" w:color="auto" w:fill="FFFFFF"/>
        </w:rPr>
        <w:t>万元，占85.30%；项目支出</w:t>
      </w:r>
      <w:r>
        <w:rPr>
          <w:rFonts w:ascii="方正仿宋_GBK" w:hAnsi="方正仿宋_GBK" w:eastAsia="方正仿宋_GBK" w:cs="方正仿宋_GBK"/>
          <w:sz w:val="32"/>
          <w:szCs w:val="32"/>
        </w:rPr>
        <w:t>222.37</w:t>
      </w:r>
      <w:r>
        <w:rPr>
          <w:rFonts w:ascii="方正仿宋_GBK" w:hAnsi="方正仿宋_GBK" w:eastAsia="方正仿宋_GBK" w:cs="方正仿宋_GBK"/>
          <w:sz w:val="32"/>
          <w:szCs w:val="32"/>
          <w:shd w:val="clear" w:color="auto" w:fill="FFFFFF"/>
        </w:rPr>
        <w:t>万元，占14.70%；经营支出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10.98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2024年度财政拨款收、支总计1452.25万元。与2023年相比，财政拨款收、支总计各减少3.86万元，下降0.27%。主要原因是2023年清算补发以前年度超额绩效和健康休养费。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1323.02</w:t>
      </w:r>
      <w:r>
        <w:rPr>
          <w:rFonts w:ascii="方正仿宋_GBK" w:hAnsi="方正仿宋_GBK" w:eastAsia="方正仿宋_GBK" w:cs="方正仿宋_GBK"/>
          <w:sz w:val="32"/>
          <w:szCs w:val="32"/>
          <w:shd w:val="clear" w:color="auto" w:fill="FFFFFF"/>
        </w:rPr>
        <w:t>万元，与2023年度相比，减少132.41万元，下降9.10%。主要原因是2023年清算补发以前年度超额绩效和健康休养费。较年初预算数增加175.35万元，增长15.28%。主要原因是超额绩效追加纳入养老保险和职业年金缴费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1323.02</w:t>
      </w:r>
      <w:r>
        <w:rPr>
          <w:rFonts w:ascii="方正仿宋_GBK" w:hAnsi="方正仿宋_GBK" w:eastAsia="方正仿宋_GBK" w:cs="方正仿宋_GBK"/>
          <w:sz w:val="32"/>
          <w:szCs w:val="32"/>
          <w:shd w:val="clear" w:color="auto" w:fill="FFFFFF"/>
        </w:rPr>
        <w:t>万元，与2023年度相比，减少133.09万元，下降9.14%。主要原因是2023年清算补发以前年度超额绩效和健康休养费。较年初预算数增加175.35万元，增长15.28%。主要原因是超额绩效追加纳入养老保险和职业年金缴费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896.62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67.77</w:t>
      </w:r>
      <w:r>
        <w:rPr>
          <w:rFonts w:ascii="方正仿宋_GBK" w:hAnsi="方正仿宋_GBK" w:eastAsia="方正仿宋_GBK" w:cs="方正仿宋_GBK"/>
          <w:sz w:val="32"/>
          <w:szCs w:val="32"/>
          <w:shd w:val="clear" w:color="auto" w:fill="FFFFFF"/>
        </w:rPr>
        <w:t>%，较年初预算数增加106.02万元，增长13.41%，主要原因是本年预算执行中因教职工正常晋升、岗位职级变化等人员经费增加所致。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323.62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24.46</w:t>
      </w:r>
      <w:r>
        <w:rPr>
          <w:rFonts w:ascii="方正仿宋_GBK" w:hAnsi="方正仿宋_GBK" w:eastAsia="方正仿宋_GBK" w:cs="方正仿宋_GBK"/>
          <w:sz w:val="32"/>
          <w:szCs w:val="32"/>
          <w:shd w:val="clear" w:color="auto" w:fill="FFFFFF"/>
        </w:rPr>
        <w:t>%，较年初预算数增加69.64万元，增长27.42%，主要原因是本年预算执行中将超额绩效纳入养老保险和职业年金基数增加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46.72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%，较年初预算数减少0.14万元，下降0.30%，主要原因是本年预算执行中因教职工退休减少了缴费基数。</w:t>
      </w:r>
    </w:p>
    <w:p>
      <w:pPr>
        <w:spacing w:line="600" w:lineRule="exact"/>
        <w:ind w:firstLine="640" w:firstLineChars="200"/>
        <w:rPr>
          <w:rFonts w:ascii="方正楷体_GBK" w:hAnsi="方正仿宋_GBK" w:eastAsia="方正楷体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住房保障支出56.06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4.24</w:t>
      </w:r>
      <w:r>
        <w:rPr>
          <w:rFonts w:ascii="方正仿宋_GBK" w:hAnsi="方正仿宋_GBK" w:eastAsia="方正仿宋_GBK" w:cs="方正仿宋_GBK"/>
          <w:sz w:val="32"/>
          <w:szCs w:val="32"/>
          <w:shd w:val="clear" w:color="auto" w:fill="FFFFFF"/>
        </w:rPr>
        <w:t>%，较年初预算数减少0.17万元，下降0.30%，主要原因是本年预算执行中因教职工退休减少了缴费基数。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1230.79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1208.55</w:t>
      </w:r>
      <w:r>
        <w:rPr>
          <w:rFonts w:ascii="方正仿宋_GBK" w:hAnsi="方正仿宋_GBK" w:eastAsia="方正仿宋_GBK" w:cs="方正仿宋_GBK"/>
          <w:sz w:val="32"/>
          <w:szCs w:val="32"/>
          <w:shd w:val="clear" w:color="auto" w:fill="FFFFFF"/>
        </w:rPr>
        <w:t>万元，与2023年度相比，减少115.13万元，下降8.70%，主要原因是2023年清算补发以前年度超额绩效和健康休养费。人员经费用途主要包括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22.24</w:t>
      </w:r>
      <w:r>
        <w:rPr>
          <w:rFonts w:ascii="方正仿宋_GBK" w:hAnsi="方正仿宋_GBK" w:eastAsia="方正仿宋_GBK" w:cs="方正仿宋_GBK"/>
          <w:sz w:val="32"/>
          <w:szCs w:val="32"/>
          <w:shd w:val="clear" w:color="auto" w:fill="FFFFFF"/>
        </w:rPr>
        <w:t>万元，与2023年度相比，减少2.10万元，下降8.63%，主要原因是工会经费、培训费、福利费的预算基数减少所致。公用经费用途主要包括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129.23</w:t>
      </w:r>
      <w:r>
        <w:rPr>
          <w:rFonts w:ascii="方正仿宋_GBK" w:hAnsi="方正仿宋_GBK" w:eastAsia="方正仿宋_GBK" w:cs="方正仿宋_GBK"/>
          <w:sz w:val="32"/>
          <w:szCs w:val="32"/>
          <w:shd w:val="clear" w:color="auto" w:fill="FFFFFF"/>
        </w:rPr>
        <w:t>万元，与2023年度相比，增加129.23万元，增长100.00%；本年支出</w:t>
      </w:r>
      <w:r>
        <w:rPr>
          <w:rFonts w:ascii="方正仿宋_GBK" w:hAnsi="方正仿宋_GBK" w:eastAsia="方正仿宋_GBK" w:cs="方正仿宋_GBK"/>
          <w:sz w:val="32"/>
          <w:szCs w:val="32"/>
        </w:rPr>
        <w:t>129.23</w:t>
      </w:r>
      <w:r>
        <w:rPr>
          <w:rFonts w:ascii="方正仿宋_GBK" w:hAnsi="方正仿宋_GBK" w:eastAsia="方正仿宋_GBK" w:cs="方正仿宋_GBK"/>
          <w:sz w:val="32"/>
          <w:szCs w:val="32"/>
          <w:shd w:val="clear" w:color="auto" w:fill="FFFFFF"/>
        </w:rPr>
        <w:t>万元，与2023年度相比，增加129.23万元，增长100.00%，主要原因是财政追加政府性基金支付土地出让金，</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万元，与2023年度相比，减少0.95万元，下降21.79%，主要原因是学校压缩公用经费支出，减少了师资队伍的培训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6"/>
        <w:snapToGrid w:val="0"/>
        <w:spacing w:before="0" w:beforeAutospacing="0" w:after="0" w:afterAutospacing="0" w:line="600" w:lineRule="exact"/>
        <w:ind w:firstLine="643" w:firstLineChars="200"/>
        <w:jc w:val="both"/>
        <w:rPr>
          <w:rFonts w:ascii="方正楷体_GBK" w:hAnsi="楷体" w:eastAsia="方正楷体_GBK" w:cs="楷体"/>
          <w:b/>
          <w:bCs/>
          <w:sz w:val="32"/>
          <w:szCs w:val="32"/>
          <w:shd w:val="clear" w:color="auto" w:fill="FFFFFF"/>
        </w:rPr>
      </w:pPr>
      <w:r>
        <w:rPr>
          <w:rFonts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个二级项目开展了绩效自评，涉及财政拨款项目支出资金92.23万元。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670550" cy="4820285"/>
            <wp:effectExtent l="0" t="0" r="635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70550" cy="4820285"/>
                    </a:xfrm>
                    <a:prstGeom prst="rect">
                      <a:avLst/>
                    </a:prstGeom>
                    <a:noFill/>
                    <a:ln>
                      <a:noFill/>
                    </a:ln>
                  </pic:spPr>
                </pic:pic>
              </a:graphicData>
            </a:graphic>
          </wp:inline>
        </w:drawing>
      </w:r>
      <w:r>
        <w:t xml:space="preserve"> </w:t>
      </w:r>
      <w:r>
        <w:drawing>
          <wp:inline distT="0" distB="0" distL="114300" distR="114300">
            <wp:extent cx="5634990" cy="4946015"/>
            <wp:effectExtent l="0" t="0" r="381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63499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冯老师   023-74568822</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垫江县黄沙小学校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1,323.02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1,523.72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1,523.72</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1,523.72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垫江县黄沙小学校</w:t>
            </w: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95" w:hRule="exac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95"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1,523.72</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1,452.25</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20.09</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20.09</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968.09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896.62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965.86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894.39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20.09</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940.13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883.75</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323.62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323.62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323.62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323.62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113.99</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垫江县黄沙小学校 </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95"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95"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1,512.74</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1,290.36</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222.37</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864.37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92.74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954.87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92.74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931.33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849.24</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323.62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323.22</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323.62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323.22</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113.99</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113.99</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57.06</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152.16</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123.23</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56.06</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95"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垫江县黄沙小学校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1,323.02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123.23</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1,452.25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1,452.25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129.23</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1,452.25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1,452.25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129.23</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垫江县黄沙小学校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1,323.02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1,230.79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802.56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883.75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802.56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323.22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323.22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152.56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152.16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垫江县黄沙小学校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1,056.39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248.99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492.02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1,208.55</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垫江县黄沙小学校</w:t>
            </w: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129.23</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129.23</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129.23</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123.23</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123.23</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123.23</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123.23</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垫江县黄沙小学校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垫江县黄沙小学校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4.29</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268AB"/>
    <w:rsid w:val="00466C9B"/>
    <w:rsid w:val="00550ABE"/>
    <w:rsid w:val="005956B4"/>
    <w:rsid w:val="007560F0"/>
    <w:rsid w:val="00770383"/>
    <w:rsid w:val="007819D4"/>
    <w:rsid w:val="007B419D"/>
    <w:rsid w:val="007B7C4B"/>
    <w:rsid w:val="007D3D39"/>
    <w:rsid w:val="00994AF7"/>
    <w:rsid w:val="009B67B8"/>
    <w:rsid w:val="009D2B67"/>
    <w:rsid w:val="00A566F9"/>
    <w:rsid w:val="00AF2751"/>
    <w:rsid w:val="00B03CCD"/>
    <w:rsid w:val="00B20DA4"/>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6C2722D"/>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134C40"/>
    <w:rsid w:val="383C3F15"/>
    <w:rsid w:val="38BE4696"/>
    <w:rsid w:val="3939115E"/>
    <w:rsid w:val="39B82A39"/>
    <w:rsid w:val="39C42CA8"/>
    <w:rsid w:val="39DC4FD6"/>
    <w:rsid w:val="39F03D7A"/>
    <w:rsid w:val="39F33306"/>
    <w:rsid w:val="3A2C1C67"/>
    <w:rsid w:val="3ADD7F09"/>
    <w:rsid w:val="3B1705E5"/>
    <w:rsid w:val="3B18334B"/>
    <w:rsid w:val="3B36794F"/>
    <w:rsid w:val="3B6F6EE0"/>
    <w:rsid w:val="3C14149F"/>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543CD9"/>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367B5"/>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8706</Words>
  <Characters>11768</Characters>
  <Lines>106</Lines>
  <Paragraphs>29</Paragraphs>
  <TotalTime>1</TotalTime>
  <ScaleCrop>false</ScaleCrop>
  <LinksUpToDate>false</LinksUpToDate>
  <CharactersWithSpaces>12928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2025-09-22T08:36:42Z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