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垫江县教师进修学校附属小学校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atLeast"/>
        <w:ind w:firstLine="640" w:firstLineChars="200"/>
        <w:rPr>
          <w:rFonts w:hint="default" w:ascii="方正黑体_GBK" w:hAnsi="黑体" w:eastAsia="方正黑体_GBK" w:cs="仿宋_GB2312"/>
          <w:sz w:val="32"/>
        </w:rPr>
      </w:pPr>
    </w:p>
    <w:p>
      <w:pPr>
        <w:spacing w:line="600" w:lineRule="atLeas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atLeast"/>
        <w:ind w:firstLine="643" w:firstLineChars="200"/>
        <w:rPr>
          <w:rFonts w:hint="default" w:eastAsia="方正楷体_GBK"/>
          <w:b/>
          <w:bCs/>
          <w:sz w:val="32"/>
          <w:szCs w:val="32"/>
        </w:rPr>
      </w:pPr>
      <w:r>
        <w:rPr>
          <w:rFonts w:eastAsia="方正楷体_GBK"/>
          <w:b/>
          <w:bCs/>
          <w:sz w:val="32"/>
          <w:szCs w:val="32"/>
        </w:rPr>
        <w:t>（一）职能职责</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atLeas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1</w:t>
      </w:r>
      <w:r>
        <w:rPr>
          <w:rFonts w:hint="eastAsia" w:ascii="方正仿宋_GBK" w:hAnsi="仿宋_GB2312" w:eastAsia="方正仿宋_GBK" w:cs="仿宋_GB2312"/>
          <w:sz w:val="32"/>
          <w:lang w:val="en-US" w:eastAsia="zh-CN"/>
        </w:rPr>
        <w:t>.</w:t>
      </w:r>
      <w:r>
        <w:rPr>
          <w:rFonts w:hint="eastAsia" w:ascii="方正仿宋_GBK" w:hAnsi="仿宋_GB2312" w:eastAsia="方正仿宋_GBK" w:cs="仿宋_GB2312"/>
          <w:sz w:val="32"/>
        </w:rPr>
        <w:t>负责辖区适龄儿童义务教育工作。</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atLeas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2</w:t>
      </w:r>
      <w:r>
        <w:rPr>
          <w:rFonts w:hint="eastAsia" w:ascii="方正仿宋_GBK" w:hAnsi="仿宋_GB2312" w:eastAsia="方正仿宋_GBK" w:cs="仿宋_GB2312"/>
          <w:sz w:val="32"/>
          <w:lang w:val="en-US" w:eastAsia="zh-CN"/>
        </w:rPr>
        <w:t>.</w:t>
      </w:r>
      <w:r>
        <w:rPr>
          <w:rFonts w:hint="eastAsia" w:ascii="方正仿宋_GBK" w:hAnsi="仿宋_GB2312" w:eastAsia="方正仿宋_GBK" w:cs="仿宋_GB2312"/>
          <w:sz w:val="32"/>
        </w:rPr>
        <w:t>受县教育行政部门委托，做好党的教育方针及教育法规贯彻落实，全面推进素质教育。负责学校教育教学、教育科研、师资队伍、学校经费收支与校产管理与指导；负责教育统计；负责学校卫生、安全、稳定工作；负责落实其他工作。协助所在地镇人民政府做好适龄青少年依法接受义务教育的工作。</w:t>
      </w:r>
    </w:p>
    <w:p>
      <w:pPr>
        <w:pStyle w:val="16"/>
        <w:tabs>
          <w:tab w:val="center" w:pos="4153"/>
          <w:tab w:val="left" w:pos="7275"/>
        </w:tabs>
        <w:spacing w:line="600" w:lineRule="atLeast"/>
        <w:ind w:left="640" w:firstLine="200" w:firstLineChars="0"/>
        <w:jc w:val="left"/>
        <w:rPr>
          <w:rFonts w:ascii="方正楷体_GBK" w:hAnsi="仿宋_GB2312" w:eastAsia="方正楷体_GBK" w:cs="仿宋_GB2312"/>
          <w:b/>
          <w:bCs/>
          <w:sz w:val="32"/>
        </w:rPr>
      </w:pPr>
      <w:r>
        <w:rPr>
          <w:rFonts w:hint="eastAsia" w:ascii="方正楷体_GBK" w:hAnsi="仿宋_GB2312" w:eastAsia="方正楷体_GBK" w:cs="仿宋_GB2312"/>
          <w:b/>
          <w:bCs/>
          <w:sz w:val="32"/>
        </w:rPr>
        <w:t>（二）机构设置</w:t>
      </w:r>
    </w:p>
    <w:p>
      <w:pPr>
        <w:pStyle w:val="6"/>
        <w:shd w:val="clear" w:color="auto" w:fill="FFFFFF"/>
        <w:spacing w:before="0" w:beforeAutospacing="0" w:after="0" w:afterAutospacing="0" w:line="600" w:lineRule="atLeast"/>
        <w:ind w:firstLine="640" w:firstLineChars="200"/>
        <w:rPr>
          <w:rFonts w:hint="default" w:eastAsia="方正仿宋_GBK"/>
          <w:sz w:val="32"/>
        </w:rPr>
      </w:pPr>
      <w:r>
        <w:rPr>
          <w:rFonts w:ascii="方正仿宋_GBK" w:hAnsi="仿宋_GB2312" w:eastAsia="方正仿宋_GBK" w:cs="仿宋_GB2312"/>
          <w:sz w:val="32"/>
        </w:rPr>
        <w:t>本单位内设德育处、教务处、教科处、后勤处</w:t>
      </w:r>
      <w:r>
        <w:rPr>
          <w:rFonts w:eastAsia="方正仿宋_GBK"/>
          <w:sz w:val="32"/>
        </w:rPr>
        <w:t>。</w:t>
      </w:r>
    </w:p>
    <w:p>
      <w:pPr>
        <w:spacing w:line="600" w:lineRule="atLeas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atLeas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2024年度收入总计1808.40万元，支出总计</w:t>
      </w:r>
      <w:r>
        <w:rPr>
          <w:rFonts w:ascii="方正仿宋_GBK" w:hAnsi="方正仿宋_GBK" w:eastAsia="方正仿宋_GBK" w:cs="方正仿宋_GBK"/>
          <w:sz w:val="32"/>
          <w:szCs w:val="32"/>
        </w:rPr>
        <w:t>1808.40</w:t>
      </w:r>
      <w:r>
        <w:rPr>
          <w:rFonts w:ascii="方正仿宋_GBK" w:hAnsi="方正仿宋_GBK" w:eastAsia="方正仿宋_GBK" w:cs="方正仿宋_GBK"/>
          <w:sz w:val="32"/>
          <w:szCs w:val="32"/>
          <w:shd w:val="clear" w:color="auto" w:fill="FFFFFF"/>
        </w:rPr>
        <w:t>万元。收、支与2023年度相比，增加118.79万元，增长7.03%，主要原因是师生人数均增加导致人员经费和公用经费增加。</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2024年度收入合计1808.40万元，与2023年度相比，增加230.89万元，增长14.64%，主要原因是师生人数均增加导致人员经费和公用经费增加。其中：财政拨款收入</w:t>
      </w:r>
      <w:r>
        <w:rPr>
          <w:rFonts w:ascii="方正仿宋_GBK" w:hAnsi="方正仿宋_GBK" w:eastAsia="方正仿宋_GBK" w:cs="方正仿宋_GBK"/>
          <w:sz w:val="32"/>
          <w:szCs w:val="32"/>
        </w:rPr>
        <w:t>1595.10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88.20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213.30</w:t>
      </w:r>
      <w:r>
        <w:rPr>
          <w:rFonts w:ascii="方正仿宋_GBK" w:hAnsi="方正仿宋_GBK" w:eastAsia="方正仿宋_GBK" w:cs="方正仿宋_GBK"/>
          <w:sz w:val="32"/>
          <w:szCs w:val="32"/>
          <w:shd w:val="clear" w:color="auto" w:fill="FFFFFF"/>
        </w:rPr>
        <w:t>万元，占11.80%。此外，使用非财政拨款结余和专用结余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1804.70</w:t>
      </w:r>
      <w:r>
        <w:rPr>
          <w:rFonts w:ascii="方正仿宋_GBK" w:hAnsi="方正仿宋_GBK" w:eastAsia="方正仿宋_GBK" w:cs="方正仿宋_GBK"/>
          <w:sz w:val="32"/>
          <w:szCs w:val="32"/>
          <w:shd w:val="clear" w:color="auto" w:fill="FFFFFF"/>
        </w:rPr>
        <w:t>万元，与2023年度相比，增加149.89万元，增长9.06%，主要原因是师生人数均增加导致人员经费和公用经费增加。其中：基本支出</w:t>
      </w:r>
      <w:r>
        <w:rPr>
          <w:rFonts w:ascii="方正仿宋_GBK" w:hAnsi="方正仿宋_GBK" w:eastAsia="方正仿宋_GBK" w:cs="方正仿宋_GBK"/>
          <w:sz w:val="32"/>
          <w:szCs w:val="32"/>
        </w:rPr>
        <w:t>1383.93</w:t>
      </w:r>
      <w:r>
        <w:rPr>
          <w:rFonts w:ascii="方正仿宋_GBK" w:hAnsi="方正仿宋_GBK" w:eastAsia="方正仿宋_GBK" w:cs="方正仿宋_GBK"/>
          <w:sz w:val="32"/>
          <w:szCs w:val="32"/>
          <w:shd w:val="clear" w:color="auto" w:fill="FFFFFF"/>
        </w:rPr>
        <w:t>万元，占76.68%；项目支出</w:t>
      </w:r>
      <w:r>
        <w:rPr>
          <w:rFonts w:ascii="方正仿宋_GBK" w:hAnsi="方正仿宋_GBK" w:eastAsia="方正仿宋_GBK" w:cs="方正仿宋_GBK"/>
          <w:sz w:val="32"/>
          <w:szCs w:val="32"/>
        </w:rPr>
        <w:t>420.77</w:t>
      </w:r>
      <w:r>
        <w:rPr>
          <w:rFonts w:ascii="方正仿宋_GBK" w:hAnsi="方正仿宋_GBK" w:eastAsia="方正仿宋_GBK" w:cs="方正仿宋_GBK"/>
          <w:sz w:val="32"/>
          <w:szCs w:val="32"/>
          <w:shd w:val="clear" w:color="auto" w:fill="FFFFFF"/>
        </w:rPr>
        <w:t>万元，占23.32%；经营支出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3.71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2024年度财政拨款收、支总计1595.10万元。与2023年相比，财政拨款收、支总计各增加189.30万元，增长13.47%。主要原因是师生人数均增加导致人员经费和公用经费增加。</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1595.10</w:t>
      </w:r>
      <w:r>
        <w:rPr>
          <w:rFonts w:ascii="方正仿宋_GBK" w:hAnsi="方正仿宋_GBK" w:eastAsia="方正仿宋_GBK" w:cs="方正仿宋_GBK"/>
          <w:sz w:val="32"/>
          <w:szCs w:val="32"/>
          <w:shd w:val="clear" w:color="auto" w:fill="FFFFFF"/>
        </w:rPr>
        <w:t>万元，与2023年度相比，增加189.30万元，增长13.47%。主要原因是师生人数均增加导致人员经费和公用经费增加。较年初预算数增加178.65万元，增长12.61%。主要原因是教师人数增加8人所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1595.10</w:t>
      </w:r>
      <w:r>
        <w:rPr>
          <w:rFonts w:ascii="方正仿宋_GBK" w:hAnsi="方正仿宋_GBK" w:eastAsia="方正仿宋_GBK" w:cs="方正仿宋_GBK"/>
          <w:sz w:val="32"/>
          <w:szCs w:val="32"/>
          <w:shd w:val="clear" w:color="auto" w:fill="FFFFFF"/>
        </w:rPr>
        <w:t>万元，与2023年度相比，增加189.30万元，增长13.47%。主要原因是师生人数均增加导致人员经费和公用经费增加。较年初预算数增加178.65万元，增长12.61%。主要原因是教师人数增加8人所致。</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1238.88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77.67</w:t>
      </w:r>
      <w:r>
        <w:rPr>
          <w:rFonts w:ascii="方正仿宋_GBK" w:hAnsi="方正仿宋_GBK" w:eastAsia="方正仿宋_GBK" w:cs="方正仿宋_GBK"/>
          <w:sz w:val="32"/>
          <w:szCs w:val="32"/>
          <w:shd w:val="clear" w:color="auto" w:fill="FFFFFF"/>
        </w:rPr>
        <w:t>%，较年初预算数增加94.29万元，增长8.24%，主要原因是本年预算执行中教职工正常晋升、岗位职级变化、教师增加等人员经费增加所致。</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253.13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15.87</w:t>
      </w:r>
      <w:r>
        <w:rPr>
          <w:rFonts w:ascii="方正仿宋_GBK" w:hAnsi="方正仿宋_GBK" w:eastAsia="方正仿宋_GBK" w:cs="方正仿宋_GBK"/>
          <w:sz w:val="32"/>
          <w:szCs w:val="32"/>
          <w:shd w:val="clear" w:color="auto" w:fill="FFFFFF"/>
        </w:rPr>
        <w:t>%，较年初预算数增加75.73万元，增长42.69%，主要原因是本年预算执行中将超额绩效纳入养老保险和职业年金基数增加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48.09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%，较年初预算数增加5.16万元，增长12.02%，主要原因是本年预算执行中教师人数增加8人所致。</w:t>
      </w:r>
    </w:p>
    <w:p>
      <w:pPr>
        <w:spacing w:line="600" w:lineRule="atLeas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%，较年初预算数增加3.48万元，增长6.75%，主要原因是本年预算执行中教师人数增加8人所致。</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1174.33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1157.08</w:t>
      </w:r>
      <w:r>
        <w:rPr>
          <w:rFonts w:ascii="方正仿宋_GBK" w:hAnsi="方正仿宋_GBK" w:eastAsia="方正仿宋_GBK" w:cs="方正仿宋_GBK"/>
          <w:sz w:val="32"/>
          <w:szCs w:val="32"/>
          <w:shd w:val="clear" w:color="auto" w:fill="FFFFFF"/>
        </w:rPr>
        <w:t>万元，与2023年度相比，增加161.13万元，增长16.18%，主要原因是教师人数增加8人所致。人员经费用途主要包括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17.26</w:t>
      </w:r>
      <w:r>
        <w:rPr>
          <w:rFonts w:ascii="方正仿宋_GBK" w:hAnsi="方正仿宋_GBK" w:eastAsia="方正仿宋_GBK" w:cs="方正仿宋_GBK"/>
          <w:sz w:val="32"/>
          <w:szCs w:val="32"/>
          <w:shd w:val="clear" w:color="auto" w:fill="FFFFFF"/>
        </w:rPr>
        <w:t>万元，与2023年度相比，增加0.47万元，增长2.80%，主要原因是工会经费、培训费、福利费的预算基数减少所致。公用经费用途主要包括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atLeas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atLeas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atLeas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atLeas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atLeas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atLeas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atLeast"/>
        <w:ind w:firstLine="585" w:firstLineChars="183"/>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7.31</w:t>
      </w:r>
      <w:r>
        <w:rPr>
          <w:rFonts w:ascii="方正仿宋_GBK" w:hAnsi="方正仿宋_GBK" w:eastAsia="方正仿宋_GBK" w:cs="方正仿宋_GBK"/>
          <w:sz w:val="32"/>
          <w:szCs w:val="32"/>
          <w:shd w:val="clear" w:color="auto" w:fill="FFFFFF"/>
        </w:rPr>
        <w:t>万元，与2023年度相比，增加4.09万元，增长127.02%，主要原因是学校加大了师资队伍的建设和培训</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atLeas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atLeas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atLeas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atLeas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9.80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9.80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8.16</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0.80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8.16</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atLeas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atLeas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个二级项目开展了绩效自评，涉及财政拨款项目支出资金420.77万元。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784215" cy="5858510"/>
            <wp:effectExtent l="0" t="0" r="698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84215" cy="5858510"/>
                    </a:xfrm>
                    <a:prstGeom prst="rect">
                      <a:avLst/>
                    </a:prstGeom>
                    <a:noFill/>
                    <a:ln>
                      <a:noFill/>
                    </a:ln>
                  </pic:spPr>
                </pic:pic>
              </a:graphicData>
            </a:graphic>
          </wp:inline>
        </w:drawing>
      </w:r>
      <w:r>
        <w:drawing>
          <wp:inline distT="0" distB="0" distL="114300" distR="114300">
            <wp:extent cx="5635625" cy="5586730"/>
            <wp:effectExtent l="0" t="0" r="317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35625" cy="558673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atLeas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atLeas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atLeas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atLeas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atLeas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李老师   023-74512485</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垫江县教师进修学校附属小学校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1,448.47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213.30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1,804.70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1,808.40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1,808.40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57" w:type="dxa"/>
        <w:tblInd w:w="0" w:type="dxa"/>
        <w:tblLayout w:type="fixed"/>
        <w:tblCellMar>
          <w:top w:w="0" w:type="dxa"/>
          <w:left w:w="0" w:type="dxa"/>
          <w:bottom w:w="0" w:type="dxa"/>
          <w:right w:w="0" w:type="dxa"/>
        </w:tblCellMar>
      </w:tblPr>
      <w:tblGrid>
        <w:gridCol w:w="1436"/>
        <w:gridCol w:w="3391"/>
        <w:gridCol w:w="1074"/>
        <w:gridCol w:w="1408"/>
        <w:gridCol w:w="1228"/>
        <w:gridCol w:w="1228"/>
        <w:gridCol w:w="1361"/>
        <w:gridCol w:w="1299"/>
        <w:gridCol w:w="1432"/>
        <w:gridCol w:w="1500"/>
      </w:tblGrid>
      <w:tr>
        <w:tblPrEx>
          <w:tblLayout w:type="fixed"/>
          <w:tblCellMar>
            <w:top w:w="0" w:type="dxa"/>
            <w:left w:w="0" w:type="dxa"/>
            <w:bottom w:w="0" w:type="dxa"/>
            <w:right w:w="0" w:type="dxa"/>
          </w:tblCellMar>
        </w:tblPrEx>
        <w:trPr>
          <w:trHeight w:val="641" w:hRule="atLeast"/>
        </w:trPr>
        <w:tc>
          <w:tcPr>
            <w:tcW w:w="1535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垫江县教师进修学校附属小学校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7" w:hRule="exact"/>
        </w:trPr>
        <w:tc>
          <w:tcPr>
            <w:tcW w:w="482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7" w:hRule="exac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91"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9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9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9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48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1,808.40</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1,595.10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213.30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1,452.18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1,238.88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213.30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1,420.18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213.30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1,206.88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253.13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253.13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垫江县教师进修学校附属小学校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7"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7"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1,804.70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1,383.93</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420.77</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1,448.47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1,025.96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253.13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252.88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237.42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垫江县教师进修学校附属小学校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1,595.10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垫江县教师进修学校附属小学校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9" w:hRule="exac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9" w:hRule="exac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1,595.10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1,174.33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420.77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1,238.88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420.52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390.52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1,206.88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816.36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253.13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252.88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237.42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pPr>
        <w:rPr>
          <w:rFonts w:cs="宋体"/>
          <w:sz w:val="20"/>
          <w:szCs w:val="20"/>
        </w:rPr>
      </w:pP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垫江县教师进修学校附属小学校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1,068.16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526.81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1,157.08</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垫江县教师进修学校附属小学校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垫江县教师进修学校附属小学校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垫江县教师进修学校附属小学校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C4EEA"/>
    <w:rsid w:val="000D7702"/>
    <w:rsid w:val="00261065"/>
    <w:rsid w:val="002864FD"/>
    <w:rsid w:val="002D0E5A"/>
    <w:rsid w:val="002E5443"/>
    <w:rsid w:val="0032196C"/>
    <w:rsid w:val="00394B59"/>
    <w:rsid w:val="004C12FF"/>
    <w:rsid w:val="0053057F"/>
    <w:rsid w:val="00550ABE"/>
    <w:rsid w:val="005B023C"/>
    <w:rsid w:val="00600322"/>
    <w:rsid w:val="006137D7"/>
    <w:rsid w:val="00634FA8"/>
    <w:rsid w:val="0063613A"/>
    <w:rsid w:val="006E2034"/>
    <w:rsid w:val="00732392"/>
    <w:rsid w:val="007652E0"/>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93326"/>
    <w:rsid w:val="00BF5A85"/>
    <w:rsid w:val="00C307F6"/>
    <w:rsid w:val="00C96B11"/>
    <w:rsid w:val="00CA1F34"/>
    <w:rsid w:val="00CC6B99"/>
    <w:rsid w:val="00D9046E"/>
    <w:rsid w:val="00DF7706"/>
    <w:rsid w:val="00E05175"/>
    <w:rsid w:val="00E3046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2801BA"/>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C871EF"/>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CDA052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CFD4919"/>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6FFB6B7A"/>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5857</Words>
  <Characters>7671</Characters>
  <Lines>101</Lines>
  <Paragraphs>28</Paragraphs>
  <TotalTime>1</TotalTime>
  <ScaleCrop>false</ScaleCrop>
  <LinksUpToDate>false</LinksUpToDate>
  <CharactersWithSpaces>8027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2025-09-22T07:57:27Z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88F9E094D0304B4C8D91704B9703DC18_13</vt:lpwstr>
  </property>
  <property fmtid="{D5CDD505-2E9C-101B-9397-08002B2CF9AE}" pid="4" name="KSOTemplateDocerSaveRecord">
    <vt:lpwstr>eyJoZGlkIjoiNjM0Zjk5YTc4NjQ1NmYyOGViZjRkNWIzZWJhYTE3YWEiLCJ1c2VySWQiOiIzODk0NTM2OTAifQ==</vt:lpwstr>
  </property>
</Properties>
</file>