
<file path=[Content_Types].xml><?xml version="1.0" encoding="utf-8"?>
<Types xmlns="http://schemas.openxmlformats.org/package/2006/content-types">
  <Default Extension="xml" ContentType="application/xml"/>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垫江县鹤游小学校</w:t>
      </w:r>
    </w:p>
    <w:p>
      <w:pPr>
        <w:pStyle w:val="6"/>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default"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2024年度决算公开说明</w:t>
      </w:r>
    </w:p>
    <w:p>
      <w:pPr>
        <w:spacing w:line="600" w:lineRule="exact"/>
        <w:ind w:firstLine="640" w:firstLineChars="200"/>
        <w:rPr>
          <w:rFonts w:ascii="方正黑体_GBK" w:hAnsi="黑体" w:eastAsia="方正黑体_GBK" w:cs="仿宋_GB2312"/>
          <w:sz w:val="32"/>
        </w:rPr>
      </w:pPr>
    </w:p>
    <w:p>
      <w:pPr>
        <w:spacing w:line="600" w:lineRule="exact"/>
        <w:ind w:firstLine="640" w:firstLineChars="200"/>
        <w:rPr>
          <w:rFonts w:hint="default" w:ascii="方正黑体_GBK" w:hAnsi="黑体" w:eastAsia="方正黑体_GBK" w:cs="仿宋_GB2312"/>
          <w:sz w:val="32"/>
        </w:rPr>
      </w:pPr>
      <w:r>
        <w:rPr>
          <w:rFonts w:ascii="方正黑体_GBK" w:hAnsi="黑体" w:eastAsia="方正黑体_GBK" w:cs="仿宋_GB2312"/>
          <w:sz w:val="32"/>
        </w:rPr>
        <w:t>一、单位基本情况</w:t>
      </w:r>
    </w:p>
    <w:p>
      <w:pPr>
        <w:spacing w:line="600" w:lineRule="exact"/>
        <w:ind w:firstLine="640" w:firstLineChars="200"/>
        <w:rPr>
          <w:rFonts w:hint="default" w:eastAsia="方正楷体_GBK"/>
          <w:b/>
          <w:bCs/>
          <w:sz w:val="32"/>
          <w:szCs w:val="32"/>
        </w:rPr>
      </w:pPr>
      <w:r>
        <w:rPr>
          <w:rFonts w:eastAsia="方正楷体_GBK"/>
          <w:b/>
          <w:bCs/>
          <w:sz w:val="32"/>
          <w:szCs w:val="32"/>
        </w:rPr>
        <w:t>（一）职能职责</w:t>
      </w:r>
    </w:p>
    <w:p>
      <w:pPr>
        <w:spacing w:line="600" w:lineRule="exact"/>
        <w:ind w:firstLine="640" w:firstLineChars="200"/>
        <w:rPr>
          <w:rFonts w:hint="default" w:eastAsia="方正仿宋_GBK"/>
          <w:sz w:val="32"/>
          <w:szCs w:val="32"/>
        </w:rPr>
      </w:pPr>
      <w:r>
        <w:rPr>
          <w:rFonts w:eastAsia="方正仿宋_GBK"/>
          <w:sz w:val="32"/>
          <w:szCs w:val="32"/>
        </w:rPr>
        <w:t>1</w:t>
      </w:r>
      <w:r>
        <w:rPr>
          <w:rFonts w:hAnsi="方正仿宋_GBK" w:eastAsia="方正仿宋_GBK"/>
          <w:sz w:val="32"/>
          <w:szCs w:val="32"/>
        </w:rPr>
        <w:t>．实施义务教育。适龄儿童义务教育，全面推进素质教育，学校卫生、安全、稳定，学校经费与校产管理，师资队伍建设，学前儿童教育与保育，制定本区域教育发展规划。</w:t>
      </w:r>
    </w:p>
    <w:p>
      <w:pPr>
        <w:spacing w:line="600" w:lineRule="exact"/>
        <w:ind w:firstLine="640" w:firstLineChars="200"/>
        <w:rPr>
          <w:rFonts w:hint="default" w:eastAsia="方正仿宋_GBK"/>
          <w:sz w:val="32"/>
          <w:szCs w:val="32"/>
        </w:rPr>
      </w:pPr>
      <w:r>
        <w:rPr>
          <w:rFonts w:eastAsia="方正仿宋_GBK"/>
          <w:sz w:val="32"/>
          <w:szCs w:val="32"/>
        </w:rPr>
        <w:t>2</w:t>
      </w:r>
      <w:r>
        <w:rPr>
          <w:rFonts w:hAnsi="方正仿宋_GBK" w:eastAsia="方正仿宋_GBK"/>
          <w:sz w:val="32"/>
          <w:szCs w:val="32"/>
        </w:rPr>
        <w:t>．受县教育行政部门委托，负责所在乡镇各学校做好党的教育方针及教育法规贯彻落实，做好所在乡镇的义务教育，全面推进素质教育。制定并实施本乡镇教育发展规划；负责学校教育教学、教育科研、师资队伍、学校经费收支与校产管理与指导；负责教育统计；负责学校卫生、安全、稳定工作；负责落实其他工作。协助所在乡镇人民政府做好适龄青少年依法接受义务教育的工作。</w:t>
      </w:r>
    </w:p>
    <w:p>
      <w:pPr>
        <w:spacing w:line="600" w:lineRule="exact"/>
        <w:ind w:firstLine="640" w:firstLineChars="200"/>
        <w:rPr>
          <w:rFonts w:hint="default" w:eastAsia="方正楷体_GBK"/>
          <w:b/>
          <w:sz w:val="32"/>
        </w:rPr>
      </w:pPr>
      <w:r>
        <w:rPr>
          <w:rFonts w:eastAsia="方正楷体_GBK"/>
          <w:b/>
          <w:sz w:val="32"/>
        </w:rPr>
        <w:t>（二）机构设置</w:t>
      </w:r>
    </w:p>
    <w:p>
      <w:pPr>
        <w:pStyle w:val="6"/>
        <w:shd w:val="clear" w:color="auto" w:fill="FFFFFF"/>
        <w:spacing w:before="0" w:beforeAutospacing="0" w:after="0" w:afterAutospacing="0" w:line="600" w:lineRule="exact"/>
        <w:ind w:firstLine="640" w:firstLineChars="200"/>
        <w:rPr>
          <w:rFonts w:hint="default" w:eastAsia="方正仿宋_GBK"/>
          <w:sz w:val="32"/>
        </w:rPr>
      </w:pPr>
      <w:r>
        <w:rPr>
          <w:rFonts w:eastAsia="方正仿宋_GBK"/>
          <w:sz w:val="32"/>
        </w:rPr>
        <w:t>学校单位领导职数3名(校长1名、副校长2名)，内设机构有学区教育管理中心、德育处、教务处、教科处、后勤处。</w:t>
      </w:r>
    </w:p>
    <w:p>
      <w:pPr>
        <w:spacing w:line="600" w:lineRule="exact"/>
        <w:ind w:firstLine="640" w:firstLineChars="200"/>
        <w:rPr>
          <w:rFonts w:hint="default" w:ascii="方正黑体_GBK" w:hAnsi="黑体" w:eastAsia="方正黑体_GBK" w:cs="仿宋_GB2312"/>
          <w:sz w:val="32"/>
        </w:rPr>
      </w:pPr>
      <w:r>
        <w:rPr>
          <w:rFonts w:ascii="方正黑体_GBK" w:hAnsi="黑体" w:eastAsia="方正黑体_GBK" w:cs="仿宋_GB2312"/>
          <w:sz w:val="32"/>
        </w:rPr>
        <w:t>二、单位决算收支情况说明</w:t>
      </w:r>
    </w:p>
    <w:p>
      <w:pPr>
        <w:pStyle w:val="11"/>
        <w:autoSpaceDE w:val="0"/>
        <w:spacing w:line="600" w:lineRule="exact"/>
        <w:ind w:firstLine="643"/>
        <w:rPr>
          <w:rFonts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（一）收入支出决算总体情况说明</w:t>
      </w:r>
    </w:p>
    <w:p>
      <w:pPr>
        <w:pStyle w:val="6"/>
        <w:shd w:val="clear" w:color="auto" w:fill="FFFFFF"/>
        <w:spacing w:before="0" w:beforeAutospacing="0" w:after="0" w:afterAutospacing="0" w:line="600" w:lineRule="exact"/>
        <w:ind w:firstLine="640" w:firstLineChars="200"/>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1.总体情况。</w:t>
      </w:r>
      <w:r>
        <w:rPr>
          <w:rFonts w:ascii="方正仿宋_GBK" w:hAnsi="方正仿宋_GBK" w:eastAsia="方正仿宋_GBK" w:cs="方正仿宋_GBK"/>
          <w:sz w:val="32"/>
          <w:szCs w:val="32"/>
          <w:shd w:val="clear" w:color="auto" w:fill="FFFFFF"/>
        </w:rPr>
        <w:t>2024年度收入总计1473.02万元，支出总计</w:t>
      </w:r>
      <w:r>
        <w:rPr>
          <w:rFonts w:ascii="方正仿宋_GBK" w:hAnsi="方正仿宋_GBK" w:eastAsia="方正仿宋_GBK" w:cs="方正仿宋_GBK"/>
          <w:sz w:val="32"/>
          <w:szCs w:val="32"/>
        </w:rPr>
        <w:t>1473.02</w:t>
      </w:r>
      <w:r>
        <w:rPr>
          <w:rFonts w:ascii="方正仿宋_GBK" w:hAnsi="方正仿宋_GBK" w:eastAsia="方正仿宋_GBK" w:cs="方正仿宋_GBK"/>
          <w:sz w:val="32"/>
          <w:szCs w:val="32"/>
          <w:shd w:val="clear" w:color="auto" w:fill="FFFFFF"/>
        </w:rPr>
        <w:t>万元。收、支与2023年度相比，减少355.22万元，下降19.43%，主要原因是</w:t>
      </w:r>
      <w:r>
        <w:rPr>
          <w:rFonts w:hint="default" w:ascii="方正仿宋_GBK" w:hAnsi="方正仿宋_GBK" w:eastAsia="方正仿宋_GBK" w:cs="方正仿宋_GBK"/>
          <w:sz w:val="32"/>
          <w:szCs w:val="32"/>
          <w:shd w:val="clear" w:color="auto" w:fill="FFFFFF"/>
        </w:rPr>
        <w:t>2023年清算补发以前年度超额绩效和健康休养费</w:t>
      </w:r>
      <w:r>
        <w:rPr>
          <w:rFonts w:ascii="方正仿宋_GBK" w:hAnsi="方正仿宋_GBK" w:eastAsia="方正仿宋_GBK" w:cs="方正仿宋_GBK"/>
          <w:sz w:val="32"/>
          <w:szCs w:val="32"/>
          <w:shd w:val="clear" w:color="auto" w:fill="FFFFFF"/>
        </w:rPr>
        <w:t>。</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2.收入情况。</w:t>
      </w:r>
      <w:r>
        <w:rPr>
          <w:rFonts w:ascii="方正仿宋_GBK" w:hAnsi="方正仿宋_GBK" w:eastAsia="方正仿宋_GBK" w:cs="方正仿宋_GBK"/>
          <w:sz w:val="32"/>
          <w:szCs w:val="32"/>
          <w:shd w:val="clear" w:color="auto" w:fill="FFFFFF"/>
        </w:rPr>
        <w:t>2024年度收入合计1473.02万元，与2023年度相比，减少339.54万元，下降18.73%，主要原因是</w:t>
      </w:r>
      <w:r>
        <w:rPr>
          <w:rFonts w:hint="default" w:ascii="方正仿宋_GBK" w:hAnsi="方正仿宋_GBK" w:eastAsia="方正仿宋_GBK" w:cs="方正仿宋_GBK"/>
          <w:sz w:val="32"/>
          <w:szCs w:val="32"/>
          <w:shd w:val="clear" w:color="auto" w:fill="FFFFFF"/>
        </w:rPr>
        <w:t>2023年清算补发以前年度超额绩效和健康休养费</w:t>
      </w:r>
      <w:r>
        <w:rPr>
          <w:rFonts w:ascii="方正仿宋_GBK" w:hAnsi="方正仿宋_GBK" w:eastAsia="方正仿宋_GBK" w:cs="方正仿宋_GBK"/>
          <w:sz w:val="32"/>
          <w:szCs w:val="32"/>
          <w:shd w:val="clear" w:color="auto" w:fill="FFFFFF"/>
        </w:rPr>
        <w:t>。其中：财政拨款收入</w:t>
      </w:r>
      <w:r>
        <w:rPr>
          <w:rFonts w:ascii="方正仿宋_GBK" w:hAnsi="方正仿宋_GBK" w:eastAsia="方正仿宋_GBK" w:cs="方正仿宋_GBK"/>
          <w:sz w:val="32"/>
          <w:szCs w:val="32"/>
        </w:rPr>
        <w:t>1379.31</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93.64</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42.55</w:t>
      </w:r>
      <w:r>
        <w:rPr>
          <w:rFonts w:ascii="方正仿宋_GBK" w:hAnsi="方正仿宋_GBK" w:eastAsia="方正仿宋_GBK" w:cs="方正仿宋_GBK"/>
          <w:sz w:val="32"/>
          <w:szCs w:val="32"/>
          <w:shd w:val="clear" w:color="auto" w:fill="FFFFFF"/>
        </w:rPr>
        <w:t>万元，占2.89%；经营收入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51.16</w:t>
      </w:r>
      <w:r>
        <w:rPr>
          <w:rFonts w:ascii="方正仿宋_GBK" w:hAnsi="方正仿宋_GBK" w:eastAsia="方正仿宋_GBK" w:cs="方正仿宋_GBK"/>
          <w:sz w:val="32"/>
          <w:szCs w:val="32"/>
          <w:shd w:val="clear" w:color="auto" w:fill="FFFFFF"/>
        </w:rPr>
        <w:t>万元，占3.47%。此外，使用非财政拨款结余和专用结余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3.支出情况。</w:t>
      </w:r>
      <w:r>
        <w:rPr>
          <w:rFonts w:ascii="方正仿宋_GBK" w:hAnsi="方正仿宋_GBK" w:eastAsia="方正仿宋_GBK" w:cs="方正仿宋_GBK"/>
          <w:sz w:val="32"/>
          <w:szCs w:val="32"/>
          <w:shd w:val="clear" w:color="auto" w:fill="FFFFFF"/>
        </w:rPr>
        <w:t>2024年度支出合计</w:t>
      </w:r>
      <w:r>
        <w:rPr>
          <w:rFonts w:ascii="方正仿宋_GBK" w:hAnsi="方正仿宋_GBK" w:eastAsia="方正仿宋_GBK" w:cs="方正仿宋_GBK"/>
          <w:sz w:val="32"/>
          <w:szCs w:val="32"/>
        </w:rPr>
        <w:t>1461.18</w:t>
      </w:r>
      <w:r>
        <w:rPr>
          <w:rFonts w:ascii="方正仿宋_GBK" w:hAnsi="方正仿宋_GBK" w:eastAsia="方正仿宋_GBK" w:cs="方正仿宋_GBK"/>
          <w:sz w:val="32"/>
          <w:szCs w:val="32"/>
          <w:shd w:val="clear" w:color="auto" w:fill="FFFFFF"/>
        </w:rPr>
        <w:t>万元，与2023年度相比，减少367.06万元，下降20.08%，主要原因是</w:t>
      </w:r>
      <w:r>
        <w:rPr>
          <w:rFonts w:hint="default" w:ascii="方正仿宋_GBK" w:hAnsi="方正仿宋_GBK" w:eastAsia="方正仿宋_GBK" w:cs="方正仿宋_GBK"/>
          <w:sz w:val="32"/>
          <w:szCs w:val="32"/>
          <w:shd w:val="clear" w:color="auto" w:fill="FFFFFF"/>
        </w:rPr>
        <w:t>2023年清算补发以前年度超额绩效和健康休养费</w:t>
      </w:r>
      <w:r>
        <w:rPr>
          <w:rFonts w:ascii="方正仿宋_GBK" w:hAnsi="方正仿宋_GBK" w:eastAsia="方正仿宋_GBK" w:cs="方正仿宋_GBK"/>
          <w:sz w:val="32"/>
          <w:szCs w:val="32"/>
          <w:shd w:val="clear" w:color="auto" w:fill="FFFFFF"/>
        </w:rPr>
        <w:t>。其中：基本支出</w:t>
      </w:r>
      <w:r>
        <w:rPr>
          <w:rFonts w:ascii="方正仿宋_GBK" w:hAnsi="方正仿宋_GBK" w:eastAsia="方正仿宋_GBK" w:cs="方正仿宋_GBK"/>
          <w:sz w:val="32"/>
          <w:szCs w:val="32"/>
        </w:rPr>
        <w:t>1326.90</w:t>
      </w:r>
      <w:r>
        <w:rPr>
          <w:rFonts w:ascii="方正仿宋_GBK" w:hAnsi="方正仿宋_GBK" w:eastAsia="方正仿宋_GBK" w:cs="方正仿宋_GBK"/>
          <w:sz w:val="32"/>
          <w:szCs w:val="32"/>
          <w:shd w:val="clear" w:color="auto" w:fill="FFFFFF"/>
        </w:rPr>
        <w:t>万元，占90.81%；项目支出</w:t>
      </w:r>
      <w:r>
        <w:rPr>
          <w:rFonts w:ascii="方正仿宋_GBK" w:hAnsi="方正仿宋_GBK" w:eastAsia="方正仿宋_GBK" w:cs="方正仿宋_GBK"/>
          <w:sz w:val="32"/>
          <w:szCs w:val="32"/>
        </w:rPr>
        <w:t>134.27</w:t>
      </w:r>
      <w:r>
        <w:rPr>
          <w:rFonts w:ascii="方正仿宋_GBK" w:hAnsi="方正仿宋_GBK" w:eastAsia="方正仿宋_GBK" w:cs="方正仿宋_GBK"/>
          <w:sz w:val="32"/>
          <w:szCs w:val="32"/>
          <w:shd w:val="clear" w:color="auto" w:fill="FFFFFF"/>
        </w:rPr>
        <w:t>万元，占9.19%；经营支出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11.84</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4.结转结余情况。</w:t>
      </w:r>
      <w:r>
        <w:rPr>
          <w:rFonts w:ascii="方正仿宋_GBK" w:hAnsi="方正仿宋_GBK" w:eastAsia="方正仿宋_GBK" w:cs="方正仿宋_GBK"/>
          <w:sz w:val="32"/>
          <w:szCs w:val="32"/>
          <w:shd w:val="clear" w:color="auto" w:fill="FFFFFF"/>
        </w:rPr>
        <w:t>2024年度年末结转和结余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万元，与2023年度相比，无增减，主要原因是2023年和2024年均无结转和结余。</w:t>
      </w:r>
    </w:p>
    <w:p>
      <w:pPr>
        <w:pStyle w:val="11"/>
        <w:autoSpaceDE w:val="0"/>
        <w:spacing w:line="600" w:lineRule="exact"/>
        <w:ind w:firstLine="643"/>
        <w:rPr>
          <w:rFonts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（二）财政拨款收入支出决算总体情况说明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2024年度财政拨款收、支总计1379.31万元。与2023年相比，财政拨款收、支总计各减少359.24万元，下降20.66%。主要原因是</w:t>
      </w:r>
      <w:r>
        <w:rPr>
          <w:rFonts w:hint="default" w:ascii="方正仿宋_GBK" w:hAnsi="方正仿宋_GBK" w:eastAsia="方正仿宋_GBK" w:cs="方正仿宋_GBK"/>
          <w:sz w:val="32"/>
          <w:szCs w:val="32"/>
          <w:shd w:val="clear" w:color="auto" w:fill="FFFFFF"/>
        </w:rPr>
        <w:t>2023年清算补发以前年度超额绩效和健康休养费</w:t>
      </w:r>
      <w:r>
        <w:rPr>
          <w:rFonts w:ascii="方正仿宋_GBK" w:hAnsi="方正仿宋_GBK" w:eastAsia="方正仿宋_GBK" w:cs="方正仿宋_GBK"/>
          <w:sz w:val="32"/>
          <w:szCs w:val="32"/>
          <w:shd w:val="clear" w:color="auto" w:fill="FFFFFF"/>
        </w:rPr>
        <w:t>。</w:t>
      </w:r>
    </w:p>
    <w:p>
      <w:pPr>
        <w:pStyle w:val="11"/>
        <w:autoSpaceDE w:val="0"/>
        <w:spacing w:line="600" w:lineRule="exact"/>
        <w:ind w:firstLine="643"/>
        <w:rPr>
          <w:rFonts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（三）一般公共预算财政拨款收入支出决算情况说明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1.收入情况。</w:t>
      </w:r>
      <w:r>
        <w:rPr>
          <w:rFonts w:ascii="方正仿宋_GBK" w:hAnsi="方正仿宋_GBK" w:eastAsia="方正仿宋_GBK" w:cs="方正仿宋_GBK"/>
          <w:sz w:val="32"/>
          <w:szCs w:val="32"/>
          <w:shd w:val="clear" w:color="auto" w:fill="FFFFFF"/>
        </w:rPr>
        <w:t>2024年度一般公共预算财政拨款收入</w:t>
      </w:r>
      <w:r>
        <w:rPr>
          <w:rFonts w:ascii="方正仿宋_GBK" w:hAnsi="方正仿宋_GBK" w:eastAsia="方正仿宋_GBK" w:cs="方正仿宋_GBK"/>
          <w:sz w:val="32"/>
          <w:szCs w:val="32"/>
        </w:rPr>
        <w:t>1375.31</w:t>
      </w:r>
      <w:r>
        <w:rPr>
          <w:rFonts w:ascii="方正仿宋_GBK" w:hAnsi="方正仿宋_GBK" w:eastAsia="方正仿宋_GBK" w:cs="方正仿宋_GBK"/>
          <w:sz w:val="32"/>
          <w:szCs w:val="32"/>
          <w:shd w:val="clear" w:color="auto" w:fill="FFFFFF"/>
        </w:rPr>
        <w:t>万元，与2023年度相比，减少363.09万元，下降20.89%。主要原因是</w:t>
      </w:r>
      <w:r>
        <w:rPr>
          <w:rFonts w:hint="default" w:ascii="方正仿宋_GBK" w:hAnsi="方正仿宋_GBK" w:eastAsia="方正仿宋_GBK" w:cs="方正仿宋_GBK"/>
          <w:sz w:val="32"/>
          <w:szCs w:val="32"/>
          <w:shd w:val="clear" w:color="auto" w:fill="FFFFFF"/>
        </w:rPr>
        <w:t>2023年清算补发以前年度超额绩效和健康休养费</w:t>
      </w:r>
      <w:r>
        <w:rPr>
          <w:rFonts w:ascii="方正仿宋_GBK" w:hAnsi="方正仿宋_GBK" w:eastAsia="方正仿宋_GBK" w:cs="方正仿宋_GBK"/>
          <w:sz w:val="32"/>
          <w:szCs w:val="32"/>
          <w:shd w:val="clear" w:color="auto" w:fill="FFFFFF"/>
        </w:rPr>
        <w:t>。较年初预算数增加87.81万元，增长6.82%。主要原因是教职工正常晋升、岗位职级变化等人员经费增加。此外，年初财政拨款结转和结余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2.支出情况。</w:t>
      </w:r>
      <w:r>
        <w:rPr>
          <w:rFonts w:ascii="方正仿宋_GBK" w:hAnsi="方正仿宋_GBK" w:eastAsia="方正仿宋_GBK" w:cs="方正仿宋_GBK"/>
          <w:sz w:val="32"/>
          <w:szCs w:val="32"/>
          <w:shd w:val="clear" w:color="auto" w:fill="FFFFFF"/>
        </w:rPr>
        <w:t>2024年度一般公共预算财政拨款支出</w:t>
      </w:r>
      <w:r>
        <w:rPr>
          <w:rFonts w:ascii="方正仿宋_GBK" w:hAnsi="方正仿宋_GBK" w:eastAsia="方正仿宋_GBK" w:cs="方正仿宋_GBK"/>
          <w:sz w:val="32"/>
          <w:szCs w:val="32"/>
        </w:rPr>
        <w:t>1375.31</w:t>
      </w:r>
      <w:r>
        <w:rPr>
          <w:rFonts w:ascii="方正仿宋_GBK" w:hAnsi="方正仿宋_GBK" w:eastAsia="方正仿宋_GBK" w:cs="方正仿宋_GBK"/>
          <w:sz w:val="32"/>
          <w:szCs w:val="32"/>
          <w:shd w:val="clear" w:color="auto" w:fill="FFFFFF"/>
        </w:rPr>
        <w:t>万元，与2023年度相比，减少363.24万元，下降20.89%。主要原因是</w:t>
      </w:r>
      <w:r>
        <w:rPr>
          <w:rFonts w:hint="default" w:ascii="方正仿宋_GBK" w:hAnsi="方正仿宋_GBK" w:eastAsia="方正仿宋_GBK" w:cs="方正仿宋_GBK"/>
          <w:sz w:val="32"/>
          <w:szCs w:val="32"/>
          <w:shd w:val="clear" w:color="auto" w:fill="FFFFFF"/>
        </w:rPr>
        <w:t>2023年清算补发以前年度超额绩效和健康休养费</w:t>
      </w:r>
      <w:r>
        <w:rPr>
          <w:rFonts w:ascii="方正仿宋_GBK" w:hAnsi="方正仿宋_GBK" w:eastAsia="方正仿宋_GBK" w:cs="方正仿宋_GBK"/>
          <w:sz w:val="32"/>
          <w:szCs w:val="32"/>
          <w:shd w:val="clear" w:color="auto" w:fill="FFFFFF"/>
        </w:rPr>
        <w:t>。较年初预算数增加87.81万元，增长6.82%。主要原因是教职工正常晋升、岗位职级变化等人员经费增加。</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3.结转结余情况。</w:t>
      </w:r>
      <w:r>
        <w:rPr>
          <w:rFonts w:ascii="方正仿宋_GBK" w:hAnsi="方正仿宋_GBK" w:eastAsia="方正仿宋_GBK" w:cs="方正仿宋_GBK"/>
          <w:sz w:val="32"/>
          <w:szCs w:val="32"/>
          <w:shd w:val="clear" w:color="auto" w:fill="FFFFFF"/>
        </w:rPr>
        <w:t>2024年度年末一般公共预算财政拨款结转和结余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万元，与2023年度相比，无增减，主要原因是2023、2024年均无一般公共预算财政拨款结转和结余。</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highlight w:val="cyan"/>
          <w:shd w:val="clear" w:color="auto" w:fill="FFFFFF"/>
        </w:rPr>
      </w:pPr>
      <w:r>
        <w:rPr>
          <w:rStyle w:val="10"/>
          <w:rFonts w:ascii="方正仿宋_GBK" w:hAnsi="方正仿宋_GBK" w:eastAsia="方正仿宋_GBK" w:cs="方正仿宋_GBK"/>
          <w:sz w:val="32"/>
          <w:szCs w:val="32"/>
          <w:shd w:val="clear" w:color="auto" w:fill="FFFFFF"/>
        </w:rPr>
        <w:t xml:space="preserve"> 4.比较情况。</w:t>
      </w:r>
      <w:r>
        <w:rPr>
          <w:rFonts w:ascii="方正仿宋_GBK" w:hAnsi="方正仿宋_GBK" w:eastAsia="方正仿宋_GBK" w:cs="方正仿宋_GBK"/>
          <w:sz w:val="32"/>
          <w:szCs w:val="32"/>
          <w:shd w:val="clear" w:color="auto" w:fill="FFFFFF"/>
        </w:rPr>
        <w:t>本单位2024年度一般公共预算财政拨款支出主要用于以下几个方面：</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（1）教育支出</w:t>
      </w:r>
      <w:r>
        <w:rPr>
          <w:rFonts w:ascii="方正仿宋_GBK" w:hAnsi="方正仿宋_GBK" w:eastAsia="方正仿宋_GBK" w:cs="方正仿宋_GBK"/>
          <w:sz w:val="32"/>
          <w:szCs w:val="32"/>
        </w:rPr>
        <w:t>913.68</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66.43</w:t>
      </w:r>
      <w:r>
        <w:rPr>
          <w:rFonts w:ascii="方正仿宋_GBK" w:hAnsi="方正仿宋_GBK" w:eastAsia="方正仿宋_GBK" w:cs="方正仿宋_GBK"/>
          <w:sz w:val="32"/>
          <w:szCs w:val="32"/>
          <w:shd w:val="clear" w:color="auto" w:fill="FFFFFF"/>
        </w:rPr>
        <w:t>%，较年初预算数增加38.33万元，增长4.38%，主要原因是本年预算执行中因教职工正常晋升、岗位职级变化等人员经费增加所致。</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（2）社会保障与就业支出</w:t>
      </w:r>
      <w:r>
        <w:rPr>
          <w:rFonts w:ascii="方正仿宋_GBK" w:hAnsi="方正仿宋_GBK" w:eastAsia="方正仿宋_GBK" w:cs="方正仿宋_GBK"/>
          <w:sz w:val="32"/>
          <w:szCs w:val="32"/>
        </w:rPr>
        <w:t>362.93</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26.39</w:t>
      </w:r>
      <w:r>
        <w:rPr>
          <w:rFonts w:ascii="方正仿宋_GBK" w:hAnsi="方正仿宋_GBK" w:eastAsia="方正仿宋_GBK" w:cs="方正仿宋_GBK"/>
          <w:sz w:val="32"/>
          <w:szCs w:val="32"/>
          <w:shd w:val="clear" w:color="auto" w:fill="FFFFFF"/>
        </w:rPr>
        <w:t>%，较年初预算数增加54.68万元，增长17.74%，主要原因是本年预算执行中将超额绩效纳入养老保险和职业年金基数增加</w:t>
      </w:r>
      <w:r>
        <w:rPr>
          <w:rFonts w:hint="eastAsia" w:ascii="方正仿宋_GBK" w:hAnsi="方正仿宋_GBK" w:eastAsia="方正仿宋_GBK" w:cs="方正仿宋_GBK"/>
          <w:sz w:val="32"/>
          <w:szCs w:val="32"/>
          <w:shd w:val="clear" w:color="auto" w:fill="FFFFFF"/>
          <w:lang w:val="en-US" w:eastAsia="zh-CN"/>
        </w:rPr>
        <w:t>所</w:t>
      </w:r>
      <w:r>
        <w:rPr>
          <w:rFonts w:ascii="方正仿宋_GBK" w:hAnsi="方正仿宋_GBK" w:eastAsia="方正仿宋_GBK" w:cs="方正仿宋_GBK"/>
          <w:sz w:val="32"/>
          <w:szCs w:val="32"/>
          <w:shd w:val="clear" w:color="auto" w:fill="FFFFFF"/>
        </w:rPr>
        <w:t>致。</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（3）卫生健康支出</w:t>
      </w:r>
      <w:r>
        <w:rPr>
          <w:rFonts w:ascii="方正仿宋_GBK" w:hAnsi="方正仿宋_GBK" w:eastAsia="方正仿宋_GBK" w:cs="方正仿宋_GBK"/>
          <w:sz w:val="32"/>
          <w:szCs w:val="32"/>
        </w:rPr>
        <w:t>42.13</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3.06</w:t>
      </w:r>
      <w:r>
        <w:rPr>
          <w:rFonts w:ascii="方正仿宋_GBK" w:hAnsi="方正仿宋_GBK" w:eastAsia="方正仿宋_GBK" w:cs="方正仿宋_GBK"/>
          <w:sz w:val="32"/>
          <w:szCs w:val="32"/>
          <w:shd w:val="clear" w:color="auto" w:fill="FFFFFF"/>
        </w:rPr>
        <w:t>%，较年初预算数减少5.10万元，下降10.80%，主要原因是本年预算执行中因教职工退休后减少了缴费基数。</w:t>
      </w:r>
    </w:p>
    <w:p>
      <w:pPr>
        <w:spacing w:line="600"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rPr>
        <w:t>住房保障支出50.56</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3.68</w:t>
      </w:r>
      <w:r>
        <w:rPr>
          <w:rFonts w:ascii="方正仿宋_GBK" w:hAnsi="方正仿宋_GBK" w:eastAsia="方正仿宋_GBK" w:cs="方正仿宋_GBK"/>
          <w:sz w:val="32"/>
          <w:szCs w:val="32"/>
          <w:shd w:val="clear" w:color="auto" w:fill="FFFFFF"/>
        </w:rPr>
        <w:t>%，较年初预算数减少6.12万元，下降10.80%，主要原因是本年预算执行中因教职工退休后减少了缴费基数。</w:t>
      </w:r>
    </w:p>
    <w:p>
      <w:pPr>
        <w:spacing w:line="600"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（5）</w:t>
      </w:r>
      <w:r>
        <w:rPr>
          <w:rFonts w:ascii="方正仿宋_GBK" w:hAnsi="方正仿宋_GBK" w:eastAsia="方正仿宋_GBK" w:cs="方正仿宋_GBK"/>
          <w:sz w:val="32"/>
          <w:szCs w:val="32"/>
        </w:rPr>
        <w:t>灾害防治及应急管理支出6.00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0.44</w:t>
      </w:r>
      <w:r>
        <w:rPr>
          <w:rFonts w:ascii="方正仿宋_GBK" w:hAnsi="方正仿宋_GBK" w:eastAsia="方正仿宋_GBK" w:cs="方正仿宋_GBK"/>
          <w:sz w:val="32"/>
          <w:szCs w:val="32"/>
          <w:shd w:val="clear" w:color="auto" w:fill="FFFFFF"/>
        </w:rPr>
        <w:t>%，较年初预算数增加6.00万元，增长100.00%，主要原因是本年预算执行中因地质危害追加维修资金。</w:t>
      </w:r>
    </w:p>
    <w:p>
      <w:pPr>
        <w:pStyle w:val="11"/>
        <w:autoSpaceDE w:val="0"/>
        <w:spacing w:line="600" w:lineRule="exact"/>
        <w:ind w:firstLine="643"/>
        <w:rPr>
          <w:rFonts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（四）一般公共预算财政拨款基本支出决算情况说明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2024年度一般公共</w:t>
      </w:r>
      <w:r>
        <w:rPr>
          <w:rFonts w:hint="eastAsia" w:ascii="方正仿宋_GBK" w:hAnsi="方正仿宋_GBK" w:eastAsia="方正仿宋_GBK" w:cs="方正仿宋_GBK"/>
          <w:sz w:val="32"/>
          <w:szCs w:val="32"/>
          <w:shd w:val="clear" w:color="auto" w:fill="FFFFFF"/>
          <w:lang w:val="en-US" w:eastAsia="zh-CN"/>
        </w:rPr>
        <w:t>预</w:t>
      </w:r>
      <w:bookmarkStart w:id="0" w:name="_GoBack"/>
      <w:bookmarkEnd w:id="0"/>
      <w:r>
        <w:rPr>
          <w:rFonts w:hint="eastAsia" w:ascii="方正仿宋_GBK" w:hAnsi="方正仿宋_GBK" w:eastAsia="方正仿宋_GBK" w:cs="方正仿宋_GBK"/>
          <w:sz w:val="32"/>
          <w:szCs w:val="32"/>
          <w:shd w:val="clear" w:color="auto" w:fill="FFFFFF"/>
          <w:lang w:val="en-US" w:eastAsia="zh-CN"/>
        </w:rPr>
        <w:t>算</w:t>
      </w:r>
      <w:r>
        <w:rPr>
          <w:rFonts w:ascii="方正仿宋_GBK" w:hAnsi="方正仿宋_GBK" w:eastAsia="方正仿宋_GBK" w:cs="方正仿宋_GBK"/>
          <w:sz w:val="32"/>
          <w:szCs w:val="32"/>
          <w:shd w:val="clear" w:color="auto" w:fill="FFFFFF"/>
        </w:rPr>
        <w:t>财政拨款基本支出</w:t>
      </w:r>
      <w:r>
        <w:rPr>
          <w:rFonts w:ascii="方正仿宋_GBK" w:hAnsi="方正仿宋_GBK" w:eastAsia="方正仿宋_GBK" w:cs="方正仿宋_GBK"/>
          <w:sz w:val="32"/>
          <w:szCs w:val="32"/>
        </w:rPr>
        <w:t>1245.72</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1221.91</w:t>
      </w:r>
      <w:r>
        <w:rPr>
          <w:rFonts w:ascii="方正仿宋_GBK" w:hAnsi="方正仿宋_GBK" w:eastAsia="方正仿宋_GBK" w:cs="方正仿宋_GBK"/>
          <w:sz w:val="32"/>
          <w:szCs w:val="32"/>
          <w:shd w:val="clear" w:color="auto" w:fill="FFFFFF"/>
        </w:rPr>
        <w:t>万元，与2023年度相比，减少313.82万元，下降20.43%，主要原因是2023年清算补发以前年度超额绩效和健康休养费。人员经费用途主要包括</w:t>
      </w:r>
      <w:r>
        <w:rPr>
          <w:rFonts w:ascii="方正仿宋_GBK" w:eastAsia="方正仿宋_GBK"/>
          <w:sz w:val="32"/>
          <w:szCs w:val="32"/>
        </w:rPr>
        <w:t>教师岗位工资、薪级工资、津补贴、绩效工资、社会保障和就业支出、医疗卫生支出和住房保障支出、健康休养费、退休人员生活补贴</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23.81</w:t>
      </w:r>
      <w:r>
        <w:rPr>
          <w:rFonts w:ascii="方正仿宋_GBK" w:hAnsi="方正仿宋_GBK" w:eastAsia="方正仿宋_GBK" w:cs="方正仿宋_GBK"/>
          <w:sz w:val="32"/>
          <w:szCs w:val="32"/>
          <w:shd w:val="clear" w:color="auto" w:fill="FFFFFF"/>
        </w:rPr>
        <w:t>万元，与2023年度相比，减少3.57万元，下降13.04%，主要原因是工会经费、培训费、福利费的预算基数减少所致。公用经费用途主要包括</w:t>
      </w:r>
      <w:r>
        <w:rPr>
          <w:rFonts w:ascii="方正仿宋_GBK" w:eastAsia="方正仿宋_GBK"/>
          <w:sz w:val="32"/>
          <w:szCs w:val="32"/>
        </w:rPr>
        <w:t>学校师资培训、教职工体检和工作餐等福利、工会补助等支出</w:t>
      </w:r>
      <w:r>
        <w:rPr>
          <w:rFonts w:ascii="方正仿宋_GBK" w:hAnsi="方正仿宋_GBK" w:eastAsia="方正仿宋_GBK" w:cs="方正仿宋_GBK"/>
          <w:sz w:val="32"/>
          <w:szCs w:val="32"/>
          <w:shd w:val="clear" w:color="auto" w:fill="FFFFFF"/>
        </w:rPr>
        <w:t>。</w:t>
      </w:r>
    </w:p>
    <w:p>
      <w:pPr>
        <w:pStyle w:val="11"/>
        <w:autoSpaceDE w:val="0"/>
        <w:spacing w:line="600" w:lineRule="exact"/>
        <w:ind w:firstLine="643"/>
        <w:rPr>
          <w:rFonts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（五）政府性基金预算收支决算情况说明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2024年度政府性基金预算财政拨款年初结转结余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4.00</w:t>
      </w:r>
      <w:r>
        <w:rPr>
          <w:rFonts w:ascii="方正仿宋_GBK" w:hAnsi="方正仿宋_GBK" w:eastAsia="方正仿宋_GBK" w:cs="方正仿宋_GBK"/>
          <w:sz w:val="32"/>
          <w:szCs w:val="32"/>
          <w:shd w:val="clear" w:color="auto" w:fill="FFFFFF"/>
        </w:rPr>
        <w:t>万元，与2023年度相比，增加4.00万元，增长100.00%；本年支出</w:t>
      </w:r>
      <w:r>
        <w:rPr>
          <w:rFonts w:ascii="方正仿宋_GBK" w:hAnsi="方正仿宋_GBK" w:eastAsia="方正仿宋_GBK" w:cs="方正仿宋_GBK"/>
          <w:sz w:val="32"/>
          <w:szCs w:val="32"/>
        </w:rPr>
        <w:t>4.00</w:t>
      </w:r>
      <w:r>
        <w:rPr>
          <w:rFonts w:ascii="方正仿宋_GBK" w:hAnsi="方正仿宋_GBK" w:eastAsia="方正仿宋_GBK" w:cs="方正仿宋_GBK"/>
          <w:sz w:val="32"/>
          <w:szCs w:val="32"/>
          <w:shd w:val="clear" w:color="auto" w:fill="FFFFFF"/>
        </w:rPr>
        <w:t>万元，与2023年度相比，增加4.00万元，增长100.00%，主要原因是本年财政使用政府性基金实施乡村少年宫建设项目。</w:t>
      </w:r>
    </w:p>
    <w:p>
      <w:pPr>
        <w:pStyle w:val="6"/>
        <w:snapToGrid w:val="0"/>
        <w:spacing w:before="0" w:beforeAutospacing="0" w:after="0" w:afterAutospacing="0" w:line="600" w:lineRule="exact"/>
        <w:ind w:firstLine="640" w:firstLineChars="200"/>
        <w:jc w:val="both"/>
        <w:rPr>
          <w:rFonts w:hint="default" w:ascii="方正楷体_GBK" w:hAnsi="方正仿宋_GBK" w:eastAsia="方正楷体_GBK" w:cs="方正仿宋_GBK"/>
          <w:sz w:val="32"/>
          <w:szCs w:val="32"/>
        </w:rPr>
      </w:pPr>
      <w:r>
        <w:rPr>
          <w:rFonts w:ascii="方正楷体_GBK" w:hAnsi="楷体" w:eastAsia="方正楷体_GBK" w:cs="楷体"/>
          <w:b/>
          <w:bCs/>
          <w:sz w:val="32"/>
          <w:szCs w:val="32"/>
          <w:shd w:val="clear" w:color="auto" w:fill="FFFFFF"/>
        </w:rPr>
        <w:t>（六）国有资本经营预算财政拨款支出决算情况说明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2024年度国有资本经营预算财政拨</w:t>
      </w:r>
      <w:r>
        <w:rPr>
          <w:rFonts w:hint="eastAsia" w:ascii="方正仿宋_GBK" w:hAnsi="方正仿宋_GBK" w:eastAsia="方正仿宋_GBK" w:cs="方正仿宋_GBK"/>
          <w:sz w:val="32"/>
          <w:szCs w:val="32"/>
          <w:shd w:val="clear" w:color="auto" w:fill="FFFFFF"/>
          <w:lang w:val="en-US" w:eastAsia="zh-CN"/>
        </w:rPr>
        <w:t>款</w:t>
      </w:r>
      <w:r>
        <w:rPr>
          <w:rFonts w:ascii="方正仿宋_GBK" w:hAnsi="方正仿宋_GBK" w:eastAsia="方正仿宋_GBK" w:cs="方正仿宋_GBK"/>
          <w:sz w:val="32"/>
          <w:szCs w:val="32"/>
          <w:shd w:val="clear" w:color="auto" w:fill="FFFFFF"/>
        </w:rPr>
        <w:t>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万元，基本支出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万元。本单位</w:t>
      </w:r>
      <w:r>
        <w:rPr>
          <w:rFonts w:hint="default" w:ascii="方正仿宋_GBK" w:hAnsi="方正仿宋_GBK" w:eastAsia="方正仿宋_GBK" w:cs="方正仿宋_GBK"/>
          <w:sz w:val="32"/>
          <w:szCs w:val="32"/>
          <w:shd w:val="clear" w:color="auto" w:fill="FFFFFF"/>
        </w:rPr>
        <w:t>202</w:t>
      </w:r>
      <w:r>
        <w:rPr>
          <w:rFonts w:ascii="方正仿宋_GBK" w:hAnsi="方正仿宋_GBK" w:eastAsia="方正仿宋_GBK" w:cs="方正仿宋_GBK"/>
          <w:sz w:val="32"/>
          <w:szCs w:val="32"/>
          <w:shd w:val="clear" w:color="auto" w:fill="FFFFFF"/>
        </w:rPr>
        <w:t>4</w:t>
      </w:r>
      <w:r>
        <w:rPr>
          <w:rFonts w:hint="default" w:ascii="方正仿宋_GBK" w:hAnsi="方正仿宋_GBK" w:eastAsia="方正仿宋_GBK" w:cs="方正仿宋_GBK"/>
          <w:sz w:val="32"/>
          <w:szCs w:val="32"/>
          <w:shd w:val="clear" w:color="auto" w:fill="FFFFFF"/>
        </w:rPr>
        <w:t>年度无国有资本经营预算财政拨款支出。</w:t>
      </w:r>
    </w:p>
    <w:p>
      <w:pPr>
        <w:spacing w:line="600" w:lineRule="exact"/>
        <w:ind w:firstLine="640" w:firstLineChars="200"/>
        <w:rPr>
          <w:rFonts w:hint="default" w:ascii="方正黑体_GBK" w:hAnsi="黑体" w:eastAsia="方正黑体_GBK" w:cs="仿宋_GB2312"/>
          <w:sz w:val="32"/>
        </w:rPr>
      </w:pPr>
      <w:r>
        <w:rPr>
          <w:rFonts w:ascii="方正黑体_GBK" w:hAnsi="黑体" w:eastAsia="方正黑体_GBK" w:cs="仿宋_GB2312"/>
          <w:sz w:val="32"/>
        </w:rPr>
        <w:t>三、财政拨款“三公”经费情况说明</w:t>
      </w:r>
    </w:p>
    <w:p>
      <w:pPr>
        <w:pStyle w:val="11"/>
        <w:autoSpaceDE w:val="0"/>
        <w:spacing w:line="600" w:lineRule="exact"/>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（一）“三公”经费支出总体情况说明</w:t>
      </w:r>
    </w:p>
    <w:p>
      <w:pPr>
        <w:spacing w:line="600" w:lineRule="exact"/>
        <w:ind w:firstLine="640" w:firstLineChars="200"/>
        <w:rPr>
          <w:rFonts w:hint="default" w:ascii="方正仿宋_GBK" w:eastAsia="方正仿宋_GBK"/>
          <w:sz w:val="32"/>
          <w:szCs w:val="32"/>
        </w:rPr>
      </w:pPr>
      <w:r>
        <w:rPr>
          <w:rFonts w:ascii="方正仿宋_GBK" w:hAnsi="方正仿宋_GBK" w:eastAsia="方正仿宋_GBK" w:cs="方正仿宋_GBK"/>
          <w:sz w:val="32"/>
          <w:szCs w:val="32"/>
          <w:shd w:val="clear" w:color="auto" w:fill="FFFFFF"/>
        </w:rPr>
        <w:t>2024年度“三公”经费支出共计</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万元，较年初预算数无增减，</w:t>
      </w:r>
      <w:r>
        <w:rPr>
          <w:rFonts w:ascii="方正仿宋_GBK" w:eastAsia="方正仿宋_GBK"/>
          <w:sz w:val="32"/>
          <w:szCs w:val="32"/>
        </w:rPr>
        <w:t>主要原因是年初预算数</w:t>
      </w:r>
      <w:r>
        <w:rPr>
          <w:rFonts w:ascii="方正仿宋_GBK" w:hAnsi="方正仿宋_GBK" w:eastAsia="方正仿宋_GBK" w:cs="方正仿宋_GBK"/>
          <w:sz w:val="32"/>
          <w:szCs w:val="32"/>
          <w:shd w:val="clear" w:color="auto" w:fill="FFFFFF"/>
        </w:rPr>
        <w:t>未安排“三公”</w:t>
      </w:r>
      <w:r>
        <w:rPr>
          <w:rFonts w:ascii="方正仿宋_GBK" w:eastAsia="方正仿宋_GBK"/>
          <w:sz w:val="32"/>
          <w:szCs w:val="32"/>
        </w:rPr>
        <w:t>经费支出。</w:t>
      </w:r>
      <w:r>
        <w:rPr>
          <w:rFonts w:ascii="方正仿宋_GBK" w:hAnsi="方正仿宋_GBK" w:eastAsia="方正仿宋_GBK" w:cs="方正仿宋_GBK"/>
          <w:sz w:val="32"/>
          <w:szCs w:val="32"/>
          <w:shd w:val="clear" w:color="auto" w:fill="FFFFFF"/>
        </w:rPr>
        <w:t>较上年支出数无增减，主要原因是上年和本年均未发生</w:t>
      </w:r>
      <w:r>
        <w:rPr>
          <w:rFonts w:ascii="方正仿宋_GBK" w:eastAsia="方正仿宋_GBK"/>
          <w:sz w:val="32"/>
          <w:szCs w:val="32"/>
        </w:rPr>
        <w:t>“三公”经费开支。</w:t>
      </w:r>
    </w:p>
    <w:p>
      <w:pPr>
        <w:pStyle w:val="11"/>
        <w:autoSpaceDE w:val="0"/>
        <w:spacing w:line="600" w:lineRule="exact"/>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（二）“三公”经费分项支出情况</w:t>
      </w:r>
    </w:p>
    <w:p>
      <w:pPr>
        <w:pStyle w:val="11"/>
        <w:autoSpaceDE w:val="0"/>
        <w:spacing w:line="600" w:lineRule="exact"/>
        <w:ind w:firstLine="640"/>
        <w:rPr>
          <w:rFonts w:ascii="方正楷体_GBK" w:hAnsi="楷体" w:eastAsia="方正楷体_GBK" w:cs="楷体"/>
          <w:b/>
          <w:bCs/>
          <w:sz w:val="32"/>
          <w:szCs w:val="32"/>
          <w:shd w:val="clear" w:color="auto" w:fill="FFFFFF"/>
          <w:lang w:bidi="ar"/>
        </w:rPr>
      </w:pPr>
      <w:r>
        <w:rPr>
          <w:rFonts w:ascii="方正仿宋_GBK" w:hAnsi="方正仿宋_GBK" w:eastAsia="方正仿宋_GBK" w:cs="方正仿宋_GBK"/>
          <w:sz w:val="32"/>
          <w:szCs w:val="32"/>
          <w:shd w:val="clear" w:color="auto" w:fill="FFFFFF"/>
        </w:rPr>
        <w:t>2024年度本单位因公出国（境）费用</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w:t>
      </w:r>
      <w:r>
        <w:rPr>
          <w:rFonts w:ascii="方正仿宋_GBK" w:eastAsia="方正仿宋_GBK"/>
          <w:sz w:val="32"/>
          <w:szCs w:val="32"/>
        </w:rPr>
        <w:t>主要原因是年初预算数未安排因公出国（境）费用，也未发生因公出国（境）费用。</w:t>
      </w:r>
      <w:r>
        <w:rPr>
          <w:rFonts w:ascii="方正仿宋_GBK" w:hAnsi="方正仿宋_GBK" w:eastAsia="方正仿宋_GBK" w:cs="方正仿宋_GBK"/>
          <w:sz w:val="32"/>
          <w:szCs w:val="32"/>
          <w:shd w:val="clear" w:color="auto" w:fill="FFFFFF"/>
        </w:rPr>
        <w:t>较上年支出数无增减，</w:t>
      </w:r>
      <w:r>
        <w:rPr>
          <w:rFonts w:ascii="方正仿宋_GBK" w:eastAsia="方正仿宋_GBK"/>
          <w:sz w:val="32"/>
          <w:szCs w:val="32"/>
        </w:rPr>
        <w:t>主要原因是上年和本年均未发生因公出国（境）费用。</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公务车购置费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w:t>
      </w:r>
      <w:r>
        <w:rPr>
          <w:rFonts w:ascii="方正仿宋_GBK" w:eastAsia="方正仿宋_GBK"/>
          <w:sz w:val="32"/>
          <w:szCs w:val="32"/>
        </w:rPr>
        <w:t>主要原因是年初预算数未安排公务车购置费用</w:t>
      </w:r>
      <w:r>
        <w:rPr>
          <w:rFonts w:ascii="方正仿宋_GBK" w:hAnsi="方正仿宋_GBK" w:eastAsia="方正仿宋_GBK" w:cs="方正仿宋_GBK"/>
          <w:sz w:val="32"/>
          <w:szCs w:val="32"/>
          <w:shd w:val="clear" w:color="auto" w:fill="FFFFFF"/>
        </w:rPr>
        <w:t>。较上年支出数无增减，</w:t>
      </w:r>
      <w:r>
        <w:rPr>
          <w:rFonts w:ascii="方正仿宋_GBK" w:eastAsia="方正仿宋_GBK"/>
          <w:sz w:val="32"/>
          <w:szCs w:val="32"/>
        </w:rPr>
        <w:t>主要原因是上年和本年均未发生公务车购置费用。</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val="en-US" w:eastAsia="zh-CN"/>
        </w:rPr>
        <w:t>用</w:t>
      </w:r>
      <w:r>
        <w:rPr>
          <w:rFonts w:ascii="方正仿宋_GBK" w:hAnsi="方正仿宋_GBK" w:eastAsia="方正仿宋_GBK" w:cs="方正仿宋_GBK"/>
          <w:sz w:val="32"/>
          <w:szCs w:val="32"/>
          <w:shd w:val="clear" w:color="auto" w:fill="FFFFFF"/>
        </w:rPr>
        <w:t>车运行维护费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w:t>
      </w:r>
      <w:r>
        <w:rPr>
          <w:rFonts w:ascii="方正仿宋_GBK" w:eastAsia="方正仿宋_GBK"/>
          <w:sz w:val="32"/>
          <w:szCs w:val="32"/>
        </w:rPr>
        <w:t>主要原因是年初预算数未安排公务</w:t>
      </w:r>
      <w:r>
        <w:rPr>
          <w:rFonts w:hint="eastAsia" w:ascii="方正仿宋_GBK" w:eastAsia="方正仿宋_GBK"/>
          <w:sz w:val="32"/>
          <w:szCs w:val="32"/>
          <w:lang w:val="en-US" w:eastAsia="zh-CN"/>
        </w:rPr>
        <w:t>用</w:t>
      </w:r>
      <w:r>
        <w:rPr>
          <w:rFonts w:ascii="方正仿宋_GBK" w:eastAsia="方正仿宋_GBK"/>
          <w:sz w:val="32"/>
          <w:szCs w:val="32"/>
        </w:rPr>
        <w:t>车运行维护费用</w:t>
      </w:r>
      <w:r>
        <w:rPr>
          <w:rFonts w:ascii="方正仿宋_GBK" w:hAnsi="方正仿宋_GBK" w:eastAsia="方正仿宋_GBK" w:cs="方正仿宋_GBK"/>
          <w:sz w:val="32"/>
          <w:szCs w:val="32"/>
          <w:shd w:val="clear" w:color="auto" w:fill="FFFFFF"/>
        </w:rPr>
        <w:t>。较上年支出数无增减，</w:t>
      </w:r>
      <w:r>
        <w:rPr>
          <w:rFonts w:ascii="方正仿宋_GBK" w:eastAsia="方正仿宋_GBK"/>
          <w:sz w:val="32"/>
          <w:szCs w:val="32"/>
        </w:rPr>
        <w:t>主要原因是上年和本年均未发生公务</w:t>
      </w:r>
      <w:r>
        <w:rPr>
          <w:rFonts w:hint="eastAsia" w:ascii="方正仿宋_GBK" w:eastAsia="方正仿宋_GBK"/>
          <w:sz w:val="32"/>
          <w:szCs w:val="32"/>
          <w:lang w:val="en-US" w:eastAsia="zh-CN"/>
        </w:rPr>
        <w:t>用</w:t>
      </w:r>
      <w:r>
        <w:rPr>
          <w:rFonts w:ascii="方正仿宋_GBK" w:eastAsia="方正仿宋_GBK"/>
          <w:sz w:val="32"/>
          <w:szCs w:val="32"/>
        </w:rPr>
        <w:t>车运行维护费用。</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公务接待费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w:t>
      </w:r>
      <w:r>
        <w:rPr>
          <w:rFonts w:ascii="方正仿宋_GBK" w:eastAsia="方正仿宋_GBK"/>
          <w:sz w:val="32"/>
          <w:szCs w:val="32"/>
        </w:rPr>
        <w:t>主要原因是年初预算数未安排公务接待费用</w:t>
      </w:r>
      <w:r>
        <w:rPr>
          <w:rFonts w:ascii="方正仿宋_GBK" w:hAnsi="方正仿宋_GBK" w:eastAsia="方正仿宋_GBK" w:cs="方正仿宋_GBK"/>
          <w:sz w:val="32"/>
          <w:szCs w:val="32"/>
          <w:shd w:val="clear" w:color="auto" w:fill="FFFFFF"/>
        </w:rPr>
        <w:t>。较上年支出数无增减，</w:t>
      </w:r>
      <w:r>
        <w:rPr>
          <w:rFonts w:ascii="方正仿宋_GBK" w:eastAsia="方正仿宋_GBK"/>
          <w:sz w:val="32"/>
          <w:szCs w:val="32"/>
        </w:rPr>
        <w:t>主要原因是上年和本年均未发生公务接待费用。</w:t>
      </w:r>
    </w:p>
    <w:p>
      <w:pPr>
        <w:pStyle w:val="11"/>
        <w:autoSpaceDE w:val="0"/>
        <w:spacing w:line="600" w:lineRule="exact"/>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（三）“三公”经费实物量情况</w:t>
      </w:r>
    </w:p>
    <w:p>
      <w:pPr>
        <w:spacing w:line="600"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2024年度本单位因公出国（境）共计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人。2024年本单位人均接待费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w:t>
      </w:r>
    </w:p>
    <w:p>
      <w:pPr>
        <w:spacing w:line="600" w:lineRule="exact"/>
        <w:ind w:firstLine="640" w:firstLineChars="200"/>
        <w:rPr>
          <w:rFonts w:hint="default" w:ascii="方正黑体_GBK" w:hAnsi="黑体" w:eastAsia="方正黑体_GBK" w:cs="仿宋_GB2312"/>
          <w:sz w:val="32"/>
        </w:rPr>
      </w:pPr>
      <w:r>
        <w:rPr>
          <w:rFonts w:ascii="方正黑体_GBK" w:hAnsi="黑体" w:eastAsia="方正黑体_GBK" w:cs="仿宋_GB2312"/>
          <w:sz w:val="32"/>
        </w:rPr>
        <w:t>四、其他需要说明的事项</w:t>
      </w:r>
    </w:p>
    <w:p>
      <w:pPr>
        <w:pStyle w:val="11"/>
        <w:autoSpaceDE w:val="0"/>
        <w:spacing w:line="600" w:lineRule="exact"/>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（一）财政拨款会议费和培训费情况说明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本年度会议费支出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万元，较上年决算数无增减，</w:t>
      </w:r>
      <w:r>
        <w:rPr>
          <w:rFonts w:ascii="方正仿宋_GBK" w:eastAsia="方正仿宋_GBK"/>
          <w:sz w:val="32"/>
          <w:szCs w:val="32"/>
        </w:rPr>
        <w:t>主要原因是上年和本年均未发生会议费支出</w:t>
      </w:r>
      <w:r>
        <w:rPr>
          <w:rFonts w:ascii="方正仿宋_GBK" w:hAnsi="方正仿宋_GBK" w:eastAsia="方正仿宋_GBK" w:cs="方正仿宋_GBK"/>
          <w:sz w:val="32"/>
          <w:szCs w:val="32"/>
          <w:shd w:val="clear" w:color="auto" w:fill="FFFFFF"/>
        </w:rPr>
        <w:t>。本年度培训费支出</w:t>
      </w:r>
      <w:r>
        <w:rPr>
          <w:rFonts w:ascii="方正仿宋_GBK" w:hAnsi="方正仿宋_GBK" w:eastAsia="方正仿宋_GBK" w:cs="方正仿宋_GBK"/>
          <w:sz w:val="32"/>
          <w:szCs w:val="32"/>
        </w:rPr>
        <w:t>5.04</w:t>
      </w:r>
      <w:r>
        <w:rPr>
          <w:rFonts w:ascii="方正仿宋_GBK" w:hAnsi="方正仿宋_GBK" w:eastAsia="方正仿宋_GBK" w:cs="方正仿宋_GBK"/>
          <w:sz w:val="32"/>
          <w:szCs w:val="32"/>
          <w:shd w:val="clear" w:color="auto" w:fill="FFFFFF"/>
        </w:rPr>
        <w:t>万元，与2023年度相比，减少1.32万元，下降20.75%，主要原因是学校压缩公用经费支出，减少了师资队伍的培训</w:t>
      </w:r>
      <w:r>
        <w:rPr>
          <w:rFonts w:hint="default" w:ascii="方正仿宋_GBK" w:hAnsi="方正仿宋_GBK" w:eastAsia="方正仿宋_GBK" w:cs="方正仿宋_GBK"/>
          <w:sz w:val="32"/>
          <w:szCs w:val="32"/>
        </w:rPr>
        <w:t>。</w:t>
      </w:r>
    </w:p>
    <w:p>
      <w:pPr>
        <w:pStyle w:val="11"/>
        <w:autoSpaceDE w:val="0"/>
        <w:spacing w:line="600" w:lineRule="exact"/>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（二）机关运行经费情况说明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2024年度本单位机关运行经费支出</w:t>
      </w:r>
      <w:r>
        <w:rPr>
          <w:rFonts w:ascii="方正仿宋_GBK" w:hAnsi="方正仿宋_GBK" w:eastAsia="方正仿宋_GBK" w:cs="方正仿宋_GBK"/>
          <w:sz w:val="32"/>
          <w:szCs w:val="32"/>
        </w:rPr>
        <w:t>0.0</w:t>
      </w:r>
      <w:r>
        <w:rPr>
          <w:rFonts w:ascii="方正仿宋_GBK" w:hAnsi="方正仿宋_GBK" w:eastAsia="方正仿宋_GBK" w:cs="方正仿宋_GBK"/>
          <w:sz w:val="32"/>
          <w:szCs w:val="32"/>
          <w:shd w:val="clear" w:color="auto" w:fill="FFFFFF"/>
        </w:rPr>
        <w:t>0万元，机关运行经费较上年支出数无增减，主要原因是按照部门决算列报口</w:t>
      </w:r>
      <w:r>
        <w:rPr>
          <w:rFonts w:ascii="方正仿宋_GBK" w:eastAsia="方正仿宋_GBK"/>
          <w:bCs/>
          <w:sz w:val="32"/>
          <w:szCs w:val="32"/>
        </w:rPr>
        <w:t>径，我单位不在机关运行经费统计范围之内。</w:t>
      </w:r>
    </w:p>
    <w:p>
      <w:pPr>
        <w:pStyle w:val="11"/>
        <w:autoSpaceDE w:val="0"/>
        <w:spacing w:line="600" w:lineRule="exact"/>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（三）国有资产占用情况说明</w:t>
      </w:r>
    </w:p>
    <w:p>
      <w:pPr>
        <w:pStyle w:val="11"/>
        <w:autoSpaceDE w:val="0"/>
        <w:spacing w:line="600" w:lineRule="exact"/>
        <w:ind w:firstLine="640"/>
        <w:rPr>
          <w:rFonts w:ascii="方正楷体_GBK" w:hAnsi="楷体" w:eastAsia="方正楷体_GBK" w:cs="楷体"/>
          <w:b/>
          <w:bCs/>
          <w:sz w:val="32"/>
          <w:szCs w:val="32"/>
          <w:shd w:val="clear" w:color="auto" w:fill="FFFFFF"/>
          <w:lang w:bidi="ar"/>
        </w:rPr>
      </w:pPr>
      <w:r>
        <w:rPr>
          <w:rFonts w:ascii="方正仿宋_GBK" w:hAnsi="方正仿宋_GBK" w:eastAsia="方正仿宋_GBK" w:cs="方正仿宋_GBK"/>
          <w:sz w:val="32"/>
          <w:szCs w:val="32"/>
          <w:shd w:val="clear" w:color="auto" w:fill="FFFFFF"/>
        </w:rPr>
        <w:t>截至202</w:t>
      </w:r>
      <w:r>
        <w:rPr>
          <w:rFonts w:hint="eastAsia"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年12月31日，本单位共有车辆</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r>
        <w:rPr>
          <w:rFonts w:ascii="方正仿宋_GBK" w:hAnsi="方正仿宋_GBK" w:eastAsia="方正仿宋_GBK" w:cs="方正仿宋_GBK"/>
          <w:sz w:val="32"/>
          <w:szCs w:val="32"/>
        </w:rPr>
        <w:t>。</w:t>
      </w:r>
    </w:p>
    <w:p>
      <w:pPr>
        <w:pStyle w:val="11"/>
        <w:autoSpaceDE w:val="0"/>
        <w:spacing w:line="600" w:lineRule="exact"/>
        <w:ind w:firstLine="643"/>
        <w:rPr>
          <w:rFonts w:hint="eastAsia"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（四）政府采购支出情况说明</w:t>
      </w:r>
    </w:p>
    <w:p>
      <w:pPr>
        <w:pStyle w:val="11"/>
        <w:autoSpaceDE w:val="0"/>
        <w:spacing w:line="600" w:lineRule="exact"/>
        <w:ind w:firstLine="64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2024年度本单位政府采购支出总额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0.00万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0</w:t>
      </w:r>
      <w:r>
        <w:rPr>
          <w:rFonts w:hint="eastAsia" w:ascii="方正仿宋_GBK" w:hAnsi="方正仿宋_GBK" w:eastAsia="方正仿宋_GBK" w:cs="方正仿宋_GBK"/>
          <w:sz w:val="32"/>
          <w:szCs w:val="32"/>
          <w:lang w:val="en-US" w:eastAsia="zh-CN"/>
        </w:rPr>
        <w:t>.00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0</w:t>
      </w:r>
      <w:r>
        <w:rPr>
          <w:rFonts w:hint="eastAsia" w:ascii="方正仿宋_GBK" w:hAnsi="方正仿宋_GBK" w:eastAsia="方正仿宋_GBK" w:cs="方正仿宋_GBK"/>
          <w:sz w:val="32"/>
          <w:szCs w:val="32"/>
          <w:lang w:val="en-US" w:eastAsia="zh-CN"/>
        </w:rPr>
        <w:t>.00</w:t>
      </w:r>
      <w:r>
        <w:rPr>
          <w:rFonts w:ascii="方正仿宋_GBK" w:hAnsi="方正仿宋_GBK" w:eastAsia="方正仿宋_GBK" w:cs="方正仿宋_GBK"/>
          <w:sz w:val="32"/>
          <w:szCs w:val="32"/>
          <w:shd w:val="clear" w:color="auto" w:fill="FFFFFF"/>
        </w:rPr>
        <w:t>%。2024年度我单位未发生政府采购事项，无相关经费支出。</w:t>
      </w:r>
    </w:p>
    <w:p>
      <w:pPr>
        <w:spacing w:line="600" w:lineRule="exact"/>
        <w:ind w:firstLine="640" w:firstLineChars="200"/>
        <w:rPr>
          <w:rFonts w:hint="default" w:ascii="方正黑体_GBK" w:hAnsi="黑体" w:eastAsia="方正黑体_GBK" w:cs="仿宋_GB2312"/>
          <w:sz w:val="32"/>
        </w:rPr>
      </w:pPr>
      <w:r>
        <w:rPr>
          <w:rFonts w:ascii="方正黑体_GBK" w:hAnsi="黑体" w:eastAsia="方正黑体_GBK" w:cs="仿宋_GB2312"/>
          <w:sz w:val="32"/>
        </w:rPr>
        <w:t>五、2024年度预算绩效管理情况说明</w:t>
      </w:r>
    </w:p>
    <w:p>
      <w:pPr>
        <w:pStyle w:val="11"/>
        <w:autoSpaceDE w:val="0"/>
        <w:spacing w:line="600" w:lineRule="exact"/>
        <w:ind w:firstLine="643"/>
        <w:rPr>
          <w:rFonts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（一）单位自评情况</w:t>
      </w:r>
    </w:p>
    <w:p>
      <w:pPr>
        <w:pStyle w:val="11"/>
        <w:autoSpaceDE w:val="0"/>
        <w:spacing w:line="600" w:lineRule="exact"/>
        <w:ind w:firstLine="640"/>
        <w:rPr>
          <w:rFonts w:ascii="方正楷体_GBK" w:hAnsi="楷体" w:eastAsia="方正楷体_GBK" w:cs="楷体"/>
          <w:b/>
          <w:bCs/>
          <w:sz w:val="32"/>
          <w:szCs w:val="32"/>
          <w:shd w:val="clear" w:color="auto" w:fill="FFFFFF"/>
          <w:lang w:bidi="ar"/>
        </w:rPr>
      </w:pPr>
      <w:r>
        <w:rPr>
          <w:rFonts w:hint="eastAsia" w:ascii="方正仿宋_GBK" w:hAnsi="方正仿宋_GBK" w:eastAsia="方正仿宋_GBK" w:cs="方正仿宋_GBK"/>
          <w:sz w:val="32"/>
          <w:szCs w:val="32"/>
          <w:shd w:val="clear" w:color="auto" w:fill="FFFFFF"/>
        </w:rPr>
        <w:t>根据预算绩效管理要求，我单位对1</w:t>
      </w:r>
      <w:r>
        <w:rPr>
          <w:rFonts w:hint="eastAsia" w:ascii="方正仿宋_GBK" w:hAnsi="方正仿宋_GBK" w:eastAsia="方正仿宋_GBK" w:cs="方正仿宋_GBK"/>
          <w:sz w:val="32"/>
          <w:szCs w:val="32"/>
          <w:shd w:val="clear" w:color="auto" w:fill="FFFFFF"/>
          <w:lang w:val="en-US" w:eastAsia="zh-CN"/>
        </w:rPr>
        <w:t>5</w:t>
      </w:r>
      <w:r>
        <w:rPr>
          <w:rFonts w:hint="eastAsia" w:ascii="方正仿宋_GBK" w:hAnsi="方正仿宋_GBK" w:eastAsia="方正仿宋_GBK" w:cs="方正仿宋_GBK"/>
          <w:sz w:val="32"/>
          <w:szCs w:val="32"/>
          <w:shd w:val="clear" w:color="auto" w:fill="FFFFFF"/>
        </w:rPr>
        <w:t>个二级项目开展了绩效自评，涉及财政拨款项目支出资金129.58万元。</w:t>
      </w:r>
    </w:p>
    <w:p>
      <w:pPr>
        <w:pStyle w:val="12"/>
        <w:keepNext w:val="0"/>
        <w:keepLines w:val="0"/>
        <w:pageBreakBefore w:val="0"/>
        <w:widowControl/>
        <w:kinsoku/>
        <w:wordWrap/>
        <w:overflowPunct/>
        <w:topLinePunct w:val="0"/>
        <w:autoSpaceDE w:val="0"/>
        <w:autoSpaceDN/>
        <w:bidi w:val="0"/>
        <w:adjustRightInd/>
        <w:snapToGrid/>
        <w:spacing w:before="0" w:beforeAutospacing="0" w:line="600" w:lineRule="exact"/>
        <w:ind w:firstLine="640" w:firstLineChars="200"/>
        <w:textAlignment w:val="auto"/>
        <w:rPr>
          <w:rFonts w:ascii="方正仿宋_GBK" w:eastAsia="方正仿宋_GBK"/>
          <w:bCs/>
          <w:color w:val="000000"/>
          <w:sz w:val="32"/>
          <w:szCs w:val="32"/>
        </w:rPr>
        <w:sectPr>
          <w:pgSz w:w="11915" w:h="16840"/>
          <w:pgMar w:top="1440" w:right="1800" w:bottom="1440" w:left="1800" w:header="851" w:footer="992" w:gutter="0"/>
          <w:pgNumType w:fmt="numberInDash"/>
          <w:cols w:space="720" w:num="1"/>
          <w:docGrid w:type="lines" w:linePitch="312" w:charSpace="0"/>
        </w:sectPr>
      </w:pPr>
    </w:p>
    <w:p>
      <w:pPr>
        <w:rPr>
          <w:rFonts w:hint="default"/>
        </w:rPr>
      </w:pPr>
      <w:r>
        <w:drawing>
          <wp:inline distT="0" distB="0" distL="114300" distR="114300">
            <wp:extent cx="5365115" cy="4857115"/>
            <wp:effectExtent l="0" t="0" r="6985" b="63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7"/>
                    <a:stretch>
                      <a:fillRect/>
                    </a:stretch>
                  </pic:blipFill>
                  <pic:spPr>
                    <a:xfrm>
                      <a:off x="0" y="0"/>
                      <a:ext cx="5365115" cy="4857115"/>
                    </a:xfrm>
                    <a:prstGeom prst="rect">
                      <a:avLst/>
                    </a:prstGeom>
                    <a:noFill/>
                    <a:ln>
                      <a:noFill/>
                    </a:ln>
                  </pic:spPr>
                </pic:pic>
              </a:graphicData>
            </a:graphic>
          </wp:inline>
        </w:drawing>
      </w:r>
      <w:r>
        <w:t xml:space="preserve"> </w:t>
      </w:r>
    </w:p>
    <w:p>
      <w:pPr>
        <w:rPr>
          <w:rFonts w:hint="eastAsia" w:ascii="楷体" w:hAnsi="楷体" w:eastAsia="楷体" w:cs="宋体"/>
          <w:b/>
          <w:bCs/>
          <w:color w:val="000000"/>
          <w:sz w:val="32"/>
          <w:szCs w:val="32"/>
          <w:highlight w:val="red"/>
          <w:shd w:val="clear" w:color="auto" w:fill="FFFFFF"/>
          <w:lang w:eastAsia="zh-CN"/>
        </w:rPr>
        <w:sectPr>
          <w:pgSz w:w="11915" w:h="16840"/>
          <w:pgMar w:top="1440" w:right="1800" w:bottom="1440" w:left="1800" w:header="851" w:footer="992" w:gutter="0"/>
          <w:pgNumType w:fmt="numberInDash"/>
          <w:cols w:space="720" w:num="1"/>
          <w:docGrid w:type="lines" w:linePitch="312" w:charSpace="0"/>
        </w:sectPr>
      </w:pPr>
      <w:r>
        <w:drawing>
          <wp:inline distT="0" distB="0" distL="114300" distR="114300">
            <wp:extent cx="5382895" cy="4946015"/>
            <wp:effectExtent l="0" t="0" r="8255" b="698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8"/>
                    <a:stretch>
                      <a:fillRect/>
                    </a:stretch>
                  </pic:blipFill>
                  <pic:spPr>
                    <a:xfrm>
                      <a:off x="0" y="0"/>
                      <a:ext cx="5382895" cy="4946015"/>
                    </a:xfrm>
                    <a:prstGeom prst="rect">
                      <a:avLst/>
                    </a:prstGeom>
                    <a:noFill/>
                    <a:ln>
                      <a:noFill/>
                    </a:ln>
                  </pic:spPr>
                </pic:pic>
              </a:graphicData>
            </a:graphic>
          </wp:inline>
        </w:drawing>
      </w:r>
    </w:p>
    <w:p>
      <w:pPr>
        <w:pStyle w:val="11"/>
        <w:ind w:firstLine="643"/>
        <w:rPr>
          <w:rFonts w:ascii="方正楷体_GBK" w:hAnsi="楷体" w:eastAsia="方正楷体_GBK" w:cs="楷体"/>
          <w:b/>
          <w:bCs/>
          <w:color w:val="000000"/>
          <w:sz w:val="32"/>
          <w:szCs w:val="32"/>
          <w:shd w:val="clear" w:color="auto" w:fill="FFFFFF"/>
        </w:rPr>
      </w:pPr>
      <w:r>
        <w:rPr>
          <w:rFonts w:hint="eastAsia" w:ascii="方正楷体_GBK" w:hAnsi="楷体" w:eastAsia="方正楷体_GBK" w:cs="楷体"/>
          <w:b/>
          <w:bCs/>
          <w:color w:val="000000"/>
          <w:sz w:val="32"/>
          <w:szCs w:val="32"/>
          <w:shd w:val="clear" w:color="auto" w:fill="FFFFFF"/>
        </w:rPr>
        <w:t>（二）单位绩效评价情况</w:t>
      </w:r>
    </w:p>
    <w:p>
      <w:pPr>
        <w:pStyle w:val="11"/>
        <w:ind w:firstLine="640"/>
        <w:rPr>
          <w:rFonts w:ascii="方正仿宋_GBK" w:eastAsia="方正仿宋_GBK"/>
          <w:color w:val="000000"/>
          <w:sz w:val="32"/>
          <w:szCs w:val="32"/>
          <w:shd w:val="clear" w:color="auto" w:fill="FFFFFF"/>
        </w:rPr>
      </w:pPr>
      <w:r>
        <w:rPr>
          <w:rFonts w:hint="eastAsia" w:ascii="方正仿宋_GBK" w:eastAsia="方正仿宋_GBK"/>
          <w:color w:val="000000"/>
          <w:sz w:val="32"/>
          <w:szCs w:val="32"/>
          <w:shd w:val="clear" w:color="auto" w:fill="FFFFFF"/>
        </w:rPr>
        <w:t>我单位未组织开展绩效评价。</w:t>
      </w:r>
    </w:p>
    <w:p>
      <w:pPr>
        <w:pStyle w:val="11"/>
        <w:autoSpaceDE w:val="0"/>
        <w:spacing w:line="600" w:lineRule="exact"/>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（三）财政绩效评价情况</w:t>
      </w:r>
    </w:p>
    <w:p>
      <w:pPr>
        <w:pStyle w:val="6"/>
        <w:snapToGrid w:val="0"/>
        <w:spacing w:before="0" w:beforeAutospacing="0" w:after="0" w:afterAutospacing="0" w:line="600" w:lineRule="exact"/>
        <w:ind w:firstLine="640" w:firstLineChars="200"/>
        <w:jc w:val="both"/>
        <w:rPr>
          <w:rStyle w:val="10"/>
          <w:rFonts w:hint="default" w:ascii="方正黑体_GBK" w:hAnsi="黑体" w:eastAsia="方正黑体_GBK" w:cs="黑体"/>
          <w:sz w:val="32"/>
          <w:szCs w:val="32"/>
          <w:shd w:val="clear" w:color="auto" w:fill="FFFFFF"/>
        </w:rPr>
      </w:pPr>
      <w:r>
        <w:rPr>
          <w:rFonts w:ascii="方正仿宋_GBK" w:hAnsi="方正仿宋_GBK" w:eastAsia="方正仿宋_GBK" w:cs="方正仿宋_GBK"/>
          <w:sz w:val="32"/>
          <w:szCs w:val="32"/>
          <w:shd w:val="clear" w:color="auto" w:fill="FFFFFF"/>
        </w:rPr>
        <w:t>县财政局未委托第三方对我单位开展绩效评价。</w:t>
      </w:r>
    </w:p>
    <w:p>
      <w:pPr>
        <w:spacing w:line="600" w:lineRule="exact"/>
        <w:ind w:firstLine="640" w:firstLineChars="200"/>
        <w:rPr>
          <w:rFonts w:hint="default" w:ascii="方正黑体_GBK" w:hAnsi="黑体" w:eastAsia="方正黑体_GBK" w:cs="仿宋_GB2312"/>
          <w:sz w:val="32"/>
        </w:rPr>
      </w:pPr>
      <w:r>
        <w:rPr>
          <w:rFonts w:ascii="方正黑体_GBK" w:hAnsi="黑体" w:eastAsia="方正黑体_GBK" w:cs="仿宋_GB2312"/>
          <w:sz w:val="32"/>
        </w:rPr>
        <w:t>六、专业名词解释</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ascii="楷体" w:hAnsi="楷体" w:eastAsia="楷体" w:cs="楷体"/>
          <w:b/>
          <w:bCs/>
          <w:sz w:val="32"/>
          <w:szCs w:val="32"/>
          <w:shd w:val="clear" w:color="auto" w:fill="FFFFFF"/>
        </w:rPr>
        <w:t>（一）财政拨款收入：</w:t>
      </w:r>
      <w:r>
        <w:rPr>
          <w:rFonts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（二）事业收入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（三）经营收入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（四）其他收入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（五）使用非财政拨款结余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（六）年初结转和结余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（七）结余分配</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（八）年末结转和结余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指单位结转下年的基本支出结转、项目支出结转和结余、经营结余。</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（九）基本支出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（十）项目支出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（十一）经营支出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（十二）“三公”经费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（十三）机关运行经费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（十四）工资福利支出（支出经济分类科目类级）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（十五）商品和服务支出（支出经济分类科目类级）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楷体" w:hAnsi="楷体" w:eastAsia="楷体" w:cs="楷体"/>
          <w:sz w:val="32"/>
          <w:szCs w:val="32"/>
          <w:shd w:val="clear" w:color="auto" w:fill="FFFFFF"/>
        </w:rPr>
        <w:t>（十六）对个人和家庭的补助（支出经济分类科目类级）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反映用于对个人和家庭的补助支出。</w:t>
      </w:r>
    </w:p>
    <w:p>
      <w:pPr>
        <w:pStyle w:val="6"/>
        <w:snapToGrid w:val="0"/>
        <w:spacing w:before="0" w:beforeAutospacing="0" w:after="0" w:afterAutospacing="0" w:line="600" w:lineRule="exact"/>
        <w:ind w:firstLine="643" w:firstLineChars="200"/>
        <w:jc w:val="both"/>
        <w:rPr>
          <w:rFonts w:hint="default"/>
        </w:rPr>
      </w:pPr>
      <w:r>
        <w:rPr>
          <w:rStyle w:val="10"/>
          <w:rFonts w:ascii="楷体" w:hAnsi="楷体" w:eastAsia="楷体" w:cs="楷体"/>
          <w:sz w:val="32"/>
          <w:szCs w:val="32"/>
          <w:shd w:val="clear" w:color="auto" w:fill="FFFFFF"/>
        </w:rPr>
        <w:t>（十七）其他资本性支出（支出经济分类科目类级）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spacing w:line="600" w:lineRule="exact"/>
        <w:ind w:firstLine="640" w:firstLineChars="200"/>
        <w:rPr>
          <w:rFonts w:hint="default" w:ascii="方正黑体_GBK" w:hAnsi="黑体" w:eastAsia="方正黑体_GBK" w:cs="仿宋_GB2312"/>
          <w:sz w:val="32"/>
        </w:rPr>
      </w:pPr>
      <w:r>
        <w:rPr>
          <w:rFonts w:ascii="方正黑体_GBK" w:hAnsi="黑体" w:eastAsia="方正黑体_GBK" w:cs="仿宋_GB2312"/>
          <w:sz w:val="32"/>
        </w:rPr>
        <w:t>七、决算公开联系方式及信息反馈渠道</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本单位决算公开信息反馈和联系方式：</w:t>
      </w:r>
    </w:p>
    <w:p>
      <w:pPr>
        <w:pStyle w:val="6"/>
        <w:snapToGrid w:val="0"/>
        <w:spacing w:before="0" w:beforeAutospacing="0" w:after="0" w:afterAutospacing="0" w:line="600" w:lineRule="exact"/>
        <w:ind w:firstLine="640" w:firstLineChars="200"/>
        <w:jc w:val="both"/>
        <w:rPr>
          <w:rStyle w:val="10"/>
          <w:rFonts w:hint="default" w:ascii="方正仿宋_GBK" w:hAnsi="方正仿宋_GBK" w:eastAsia="方正仿宋_GBK" w:cs="方正仿宋_GBK"/>
          <w:sz w:val="32"/>
          <w:szCs w:val="32"/>
          <w:shd w:val="clear" w:color="auto" w:fill="FFFF00"/>
        </w:rPr>
      </w:pPr>
      <w:r>
        <w:rPr>
          <w:rFonts w:ascii="方正仿宋_GBK" w:hAnsi="方正仿宋_GBK" w:eastAsia="方正仿宋_GBK" w:cs="方正仿宋_GBK"/>
          <w:sz w:val="32"/>
        </w:rPr>
        <w:t>胡老师   023-74582259</w:t>
      </w:r>
    </w:p>
    <w:p>
      <w:pPr>
        <w:pStyle w:val="11"/>
        <w:autoSpaceDE w:val="0"/>
        <w:ind w:firstLine="0" w:firstLineChars="0"/>
        <w:rPr>
          <w:rStyle w:val="10"/>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7"/>
        <w:tblpPr w:leftFromText="180" w:rightFromText="180" w:vertAnchor="text" w:horzAnchor="page" w:tblpX="1058" w:tblpY="22"/>
        <w:tblOverlap w:val="never"/>
        <w:tblW w:w="14791" w:type="dxa"/>
        <w:tblInd w:w="0" w:type="dxa"/>
        <w:tblLayout w:type="fixed"/>
        <w:tblCellMar>
          <w:top w:w="0" w:type="dxa"/>
          <w:left w:w="0" w:type="dxa"/>
          <w:bottom w:w="0" w:type="dxa"/>
          <w:right w:w="0" w:type="dxa"/>
        </w:tblCellMar>
      </w:tblPr>
      <w:tblGrid>
        <w:gridCol w:w="4309"/>
        <w:gridCol w:w="3571"/>
        <w:gridCol w:w="4059"/>
        <w:gridCol w:w="2852"/>
      </w:tblGrid>
      <w:tr>
        <w:tblPrEx>
          <w:tblLayout w:type="fixed"/>
          <w:tblCellMar>
            <w:top w:w="0" w:type="dxa"/>
            <w:left w:w="0" w:type="dxa"/>
            <w:bottom w:w="0" w:type="dxa"/>
            <w:right w:w="0" w:type="dxa"/>
          </w:tblCellMar>
        </w:tblPrEx>
        <w:trPr>
          <w:trHeight w:val="232" w:hRule="atLeast"/>
        </w:trPr>
        <w:tc>
          <w:tcPr>
            <w:tcW w:w="14791" w:type="dxa"/>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Layout w:type="fixed"/>
          <w:tblCellMar>
            <w:top w:w="0" w:type="dxa"/>
            <w:left w:w="0" w:type="dxa"/>
            <w:bottom w:w="0" w:type="dxa"/>
            <w:right w:w="0" w:type="dxa"/>
          </w:tblCellMar>
        </w:tblPrEx>
        <w:trPr>
          <w:trHeight w:val="232" w:hRule="atLeast"/>
        </w:trPr>
        <w:tc>
          <w:tcPr>
            <w:tcW w:w="4309"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3571" w:type="dxa"/>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4059"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2852"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tblPrEx>
          <w:tblLayout w:type="fixed"/>
          <w:tblCellMar>
            <w:top w:w="0" w:type="dxa"/>
            <w:left w:w="0" w:type="dxa"/>
            <w:bottom w:w="0" w:type="dxa"/>
            <w:right w:w="0" w:type="dxa"/>
          </w:tblCellMar>
        </w:tblPrEx>
        <w:trPr>
          <w:trHeight w:val="232" w:hRule="atLeast"/>
        </w:trPr>
        <w:tc>
          <w:tcPr>
            <w:tcW w:w="7880" w:type="dxa"/>
            <w:gridSpan w:val="2"/>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r>
              <w:rPr>
                <w:rFonts w:cs="宋体"/>
                <w:sz w:val="20"/>
                <w:szCs w:val="20"/>
              </w:rPr>
              <w:t>单位：</w:t>
            </w:r>
            <w:r>
              <w:rPr>
                <w:sz w:val="20"/>
              </w:rPr>
              <w:t>垫江县鹤游小学校</w:t>
            </w:r>
          </w:p>
        </w:tc>
        <w:tc>
          <w:tcPr>
            <w:tcW w:w="4059"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2852"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243" w:hRule="atLeast"/>
        </w:trPr>
        <w:tc>
          <w:tcPr>
            <w:tcW w:w="78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911"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1,375.31</w:t>
            </w: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w:t>
            </w: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42.55</w:t>
            </w: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995.56</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71" w:type="dxa"/>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51.16</w:t>
            </w: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362.93</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42.13</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90"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50.56</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1,473.02</w:t>
            </w: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1,461.18</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11.84</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52"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5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1,473.02</w:t>
            </w:r>
            <w:r>
              <w:rPr>
                <w:rFonts w:ascii="Times New Roman" w:hAnsi="Times New Roman"/>
                <w:color w:val="000000"/>
                <w:sz w:val="20"/>
              </w:rPr>
              <w:t xml:space="preserve"> </w:t>
            </w:r>
          </w:p>
        </w:tc>
        <w:tc>
          <w:tcPr>
            <w:tcW w:w="4059"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1,473.02</w:t>
            </w:r>
            <w:r>
              <w:rPr>
                <w:rFonts w:ascii="Times New Roman" w:hAnsi="Times New Roman"/>
                <w:color w:val="000000"/>
                <w:sz w:val="20"/>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15559" w:type="dxa"/>
        <w:tblInd w:w="0" w:type="dxa"/>
        <w:tblLayout w:type="fixed"/>
        <w:tblCellMar>
          <w:top w:w="0" w:type="dxa"/>
          <w:left w:w="0" w:type="dxa"/>
          <w:bottom w:w="0" w:type="dxa"/>
          <w:right w:w="0" w:type="dxa"/>
        </w:tblCellMar>
      </w:tblPr>
      <w:tblGrid>
        <w:gridCol w:w="1637"/>
        <w:gridCol w:w="3230"/>
        <w:gridCol w:w="1316"/>
        <w:gridCol w:w="1375"/>
        <w:gridCol w:w="1194"/>
        <w:gridCol w:w="1195"/>
        <w:gridCol w:w="1329"/>
        <w:gridCol w:w="1267"/>
        <w:gridCol w:w="1401"/>
        <w:gridCol w:w="1615"/>
      </w:tblGrid>
      <w:tr>
        <w:tblPrEx>
          <w:tblLayout w:type="fixed"/>
          <w:tblCellMar>
            <w:top w:w="0" w:type="dxa"/>
            <w:left w:w="0" w:type="dxa"/>
            <w:bottom w:w="0" w:type="dxa"/>
            <w:right w:w="0" w:type="dxa"/>
          </w:tblCellMar>
        </w:tblPrEx>
        <w:trPr>
          <w:trHeight w:val="641" w:hRule="atLeast"/>
        </w:trPr>
        <w:tc>
          <w:tcPr>
            <w:tcW w:w="15559" w:type="dxa"/>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Layout w:type="fixed"/>
          <w:tblCellMar>
            <w:top w:w="0" w:type="dxa"/>
            <w:left w:w="0" w:type="dxa"/>
            <w:bottom w:w="0" w:type="dxa"/>
            <w:right w:w="0" w:type="dxa"/>
          </w:tblCellMar>
        </w:tblPrEx>
        <w:trPr>
          <w:trHeight w:val="328" w:hRule="atLeast"/>
        </w:trPr>
        <w:tc>
          <w:tcPr>
            <w:tcW w:w="6183"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sz w:val="20"/>
              </w:rPr>
              <w:t>垫江县鹤游小学校</w:t>
            </w:r>
          </w:p>
        </w:tc>
        <w:tc>
          <w:tcPr>
            <w:tcW w:w="137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9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9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2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6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15"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tblPrEx>
          <w:tblLayout w:type="fixed"/>
          <w:tblCellMar>
            <w:top w:w="0" w:type="dxa"/>
            <w:left w:w="0" w:type="dxa"/>
            <w:bottom w:w="0" w:type="dxa"/>
            <w:right w:w="0" w:type="dxa"/>
          </w:tblCellMar>
        </w:tblPrEx>
        <w:trPr>
          <w:trHeight w:val="328" w:hRule="atLeast"/>
        </w:trPr>
        <w:tc>
          <w:tcPr>
            <w:tcW w:w="6183"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7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9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9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2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6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15"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295" w:hRule="exact"/>
        </w:trPr>
        <w:tc>
          <w:tcPr>
            <w:tcW w:w="4867"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31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13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11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252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12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14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16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Layout w:type="fixed"/>
          <w:tblCellMar>
            <w:top w:w="0" w:type="dxa"/>
            <w:left w:w="0" w:type="dxa"/>
            <w:bottom w:w="0" w:type="dxa"/>
            <w:right w:w="0" w:type="dxa"/>
          </w:tblCellMar>
        </w:tblPrEx>
        <w:trPr>
          <w:trHeight w:val="312" w:hRule="exact"/>
        </w:trPr>
        <w:tc>
          <w:tcPr>
            <w:tcW w:w="1637"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230"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13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12" w:hRule="exac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2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12" w:hRule="exac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2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12" w:hRule="exac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2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295" w:hRule="exact"/>
        </w:trPr>
        <w:tc>
          <w:tcPr>
            <w:tcW w:w="486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3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1,473.02</w:t>
            </w:r>
            <w:r>
              <w:rPr>
                <w:rFonts w:ascii="Times New Roman" w:hAnsi="Times New Roman"/>
                <w:b/>
                <w:color w:val="000000"/>
                <w:sz w:val="20"/>
              </w:rPr>
              <w:t xml:space="preserve"> </w:t>
            </w:r>
          </w:p>
        </w:tc>
        <w:tc>
          <w:tcPr>
            <w:tcW w:w="13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1,379.31</w:t>
            </w:r>
            <w:r>
              <w:rPr>
                <w:rFonts w:ascii="Times New Roman" w:hAnsi="Times New Roman"/>
                <w:b/>
                <w:color w:val="000000"/>
                <w:sz w:val="20"/>
              </w:rPr>
              <w:t xml:space="preserve"> </w:t>
            </w:r>
          </w:p>
        </w:tc>
        <w:tc>
          <w:tcPr>
            <w:tcW w:w="11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1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42.55</w:t>
            </w:r>
            <w:r>
              <w:rPr>
                <w:rFonts w:ascii="Times New Roman" w:hAnsi="Times New Roman"/>
                <w:b/>
                <w:color w:val="000000"/>
                <w:sz w:val="20"/>
              </w:rPr>
              <w:t xml:space="preserve"> </w:t>
            </w:r>
          </w:p>
        </w:tc>
        <w:tc>
          <w:tcPr>
            <w:tcW w:w="132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42.55</w:t>
            </w:r>
            <w:r>
              <w:rPr>
                <w:rFonts w:ascii="Times New Roman" w:hAnsi="Times New Roman"/>
                <w:b/>
                <w:color w:val="000000"/>
                <w:sz w:val="20"/>
              </w:rPr>
              <w:t xml:space="preserve"> </w:t>
            </w:r>
          </w:p>
        </w:tc>
        <w:tc>
          <w:tcPr>
            <w:tcW w:w="12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4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51.16</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295"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1,007.40</w:t>
            </w:r>
            <w:r>
              <w:rPr>
                <w:rFonts w:ascii="Times New Roman" w:hAnsi="Times New Roman"/>
                <w:b/>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913.68</w:t>
            </w:r>
            <w:r>
              <w:rPr>
                <w:rFonts w:ascii="Times New Roman" w:hAnsi="Times New Roman"/>
                <w:b/>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42.55</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42.55</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51.16</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295"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20502</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普通教育</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1,005.28</w:t>
            </w:r>
            <w:r>
              <w:rPr>
                <w:rFonts w:ascii="Times New Roman" w:hAnsi="Times New Roman"/>
                <w:b/>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911.56</w:t>
            </w:r>
            <w:r>
              <w:rPr>
                <w:rFonts w:ascii="Times New Roman" w:hAnsi="Times New Roman"/>
                <w:b/>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42.55</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42.55</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51.16</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295"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2050201</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学前教育</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78.91</w:t>
            </w:r>
            <w:r>
              <w:rPr>
                <w:rFonts w:ascii="Times New Roman" w:hAnsi="Times New Roman"/>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36.37</w:t>
            </w:r>
            <w:r>
              <w:rPr>
                <w:rFonts w:ascii="Times New Roman" w:hAnsi="Times New Roman"/>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42.55</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42.55</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95"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2050202</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小学教育</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926.36</w:t>
            </w:r>
            <w:r>
              <w:rPr>
                <w:rFonts w:ascii="Times New Roman" w:hAnsi="Times New Roman"/>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875.20</w:t>
            </w:r>
            <w:r>
              <w:rPr>
                <w:rFonts w:ascii="Times New Roman" w:hAnsi="Times New Roman"/>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51.16</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95"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2.12</w:t>
            </w:r>
            <w:r>
              <w:rPr>
                <w:rFonts w:ascii="Times New Roman" w:hAnsi="Times New Roman"/>
                <w:b/>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2.12</w:t>
            </w:r>
            <w:r>
              <w:rPr>
                <w:rFonts w:ascii="Times New Roman" w:hAnsi="Times New Roman"/>
                <w:b/>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295"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2.12</w:t>
            </w:r>
            <w:r>
              <w:rPr>
                <w:rFonts w:ascii="Times New Roman" w:hAnsi="Times New Roman"/>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2.12</w:t>
            </w:r>
            <w:r>
              <w:rPr>
                <w:rFonts w:ascii="Times New Roman" w:hAnsi="Times New Roman"/>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95"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362.93</w:t>
            </w:r>
            <w:r>
              <w:rPr>
                <w:rFonts w:ascii="Times New Roman" w:hAnsi="Times New Roman"/>
                <w:b/>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362.93</w:t>
            </w:r>
            <w:r>
              <w:rPr>
                <w:rFonts w:ascii="Times New Roman" w:hAnsi="Times New Roman"/>
                <w:b/>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295"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362.93</w:t>
            </w:r>
            <w:r>
              <w:rPr>
                <w:rFonts w:ascii="Times New Roman" w:hAnsi="Times New Roman"/>
                <w:b/>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362.93</w:t>
            </w:r>
            <w:r>
              <w:rPr>
                <w:rFonts w:ascii="Times New Roman" w:hAnsi="Times New Roman"/>
                <w:b/>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295"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114.38</w:t>
            </w:r>
            <w:r>
              <w:rPr>
                <w:rFonts w:ascii="Times New Roman" w:hAnsi="Times New Roman"/>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114.38</w:t>
            </w:r>
            <w:r>
              <w:rPr>
                <w:rFonts w:ascii="Times New Roman" w:hAnsi="Times New Roman"/>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95"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56.94</w:t>
            </w:r>
            <w:r>
              <w:rPr>
                <w:rFonts w:ascii="Times New Roman" w:hAnsi="Times New Roman"/>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56.94</w:t>
            </w:r>
            <w:r>
              <w:rPr>
                <w:rFonts w:ascii="Times New Roman" w:hAnsi="Times New Roman"/>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95"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191.61</w:t>
            </w:r>
            <w:r>
              <w:rPr>
                <w:rFonts w:ascii="Times New Roman" w:hAnsi="Times New Roman"/>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191.61</w:t>
            </w:r>
            <w:r>
              <w:rPr>
                <w:rFonts w:ascii="Times New Roman" w:hAnsi="Times New Roman"/>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95"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42.13</w:t>
            </w:r>
            <w:r>
              <w:rPr>
                <w:rFonts w:ascii="Times New Roman" w:hAnsi="Times New Roman"/>
                <w:b/>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42.13</w:t>
            </w:r>
            <w:r>
              <w:rPr>
                <w:rFonts w:ascii="Times New Roman" w:hAnsi="Times New Roman"/>
                <w:b/>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295"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42.13</w:t>
            </w:r>
            <w:r>
              <w:rPr>
                <w:rFonts w:ascii="Times New Roman" w:hAnsi="Times New Roman"/>
                <w:b/>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42.13</w:t>
            </w:r>
            <w:r>
              <w:rPr>
                <w:rFonts w:ascii="Times New Roman" w:hAnsi="Times New Roman"/>
                <w:b/>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295"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42.13</w:t>
            </w:r>
            <w:r>
              <w:rPr>
                <w:rFonts w:ascii="Times New Roman" w:hAnsi="Times New Roman"/>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42.13</w:t>
            </w:r>
            <w:r>
              <w:rPr>
                <w:rFonts w:ascii="Times New Roman" w:hAnsi="Times New Roman"/>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95"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50.56</w:t>
            </w:r>
            <w:r>
              <w:rPr>
                <w:rFonts w:ascii="Times New Roman" w:hAnsi="Times New Roman"/>
                <w:b/>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50.56</w:t>
            </w:r>
            <w:r>
              <w:rPr>
                <w:rFonts w:ascii="Times New Roman" w:hAnsi="Times New Roman"/>
                <w:b/>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295"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50.56</w:t>
            </w:r>
            <w:r>
              <w:rPr>
                <w:rFonts w:ascii="Times New Roman" w:hAnsi="Times New Roman"/>
                <w:b/>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50.56</w:t>
            </w:r>
            <w:r>
              <w:rPr>
                <w:rFonts w:ascii="Times New Roman" w:hAnsi="Times New Roman"/>
                <w:b/>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295"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50.56</w:t>
            </w:r>
            <w:r>
              <w:rPr>
                <w:rFonts w:ascii="Times New Roman" w:hAnsi="Times New Roman"/>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50.56</w:t>
            </w:r>
            <w:r>
              <w:rPr>
                <w:rFonts w:ascii="Times New Roman" w:hAnsi="Times New Roman"/>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95"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灾害防治及应急管理支出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6.00</w:t>
            </w:r>
            <w:r>
              <w:rPr>
                <w:rFonts w:ascii="Times New Roman" w:hAnsi="Times New Roman"/>
                <w:b/>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6.00</w:t>
            </w:r>
            <w:r>
              <w:rPr>
                <w:rFonts w:ascii="Times New Roman" w:hAnsi="Times New Roman"/>
                <w:b/>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295"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22406</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自然灾害防治</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6.00</w:t>
            </w:r>
            <w:r>
              <w:rPr>
                <w:rFonts w:ascii="Times New Roman" w:hAnsi="Times New Roman"/>
                <w:b/>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6.00</w:t>
            </w:r>
            <w:r>
              <w:rPr>
                <w:rFonts w:ascii="Times New Roman" w:hAnsi="Times New Roman"/>
                <w:b/>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295"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2240601</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地质灾害防治</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6.00</w:t>
            </w:r>
            <w:r>
              <w:rPr>
                <w:rFonts w:ascii="Times New Roman" w:hAnsi="Times New Roman"/>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6.00</w:t>
            </w:r>
            <w:r>
              <w:rPr>
                <w:rFonts w:ascii="Times New Roman" w:hAnsi="Times New Roman"/>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95"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4.00</w:t>
            </w:r>
            <w:r>
              <w:rPr>
                <w:rFonts w:ascii="Times New Roman" w:hAnsi="Times New Roman"/>
                <w:b/>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4.00</w:t>
            </w:r>
            <w:r>
              <w:rPr>
                <w:rFonts w:ascii="Times New Roman" w:hAnsi="Times New Roman"/>
                <w:b/>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295"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22960</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彩票公益金安排的支出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4.00</w:t>
            </w:r>
            <w:r>
              <w:rPr>
                <w:rFonts w:ascii="Times New Roman" w:hAnsi="Times New Roman"/>
                <w:b/>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4.00</w:t>
            </w:r>
            <w:r>
              <w:rPr>
                <w:rFonts w:ascii="Times New Roman" w:hAnsi="Times New Roman"/>
                <w:b/>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295"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2296004</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用于教育事业的彩票公益金支出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w:t>
            </w:r>
            <w:r>
              <w:rPr>
                <w:rFonts w:ascii="Times New Roman" w:hAnsi="Times New Roman"/>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w:t>
            </w:r>
            <w:r>
              <w:rPr>
                <w:rFonts w:ascii="Times New Roman" w:hAnsi="Times New Roman"/>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ind w:left="600" w:hanging="600" w:hangingChars="300"/>
        <w:rPr>
          <w:rFonts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p>
    <w:tbl>
      <w:tblPr>
        <w:tblStyle w:val="7"/>
        <w:tblW w:w="15378" w:type="dxa"/>
        <w:tblInd w:w="0" w:type="dxa"/>
        <w:tblLayout w:type="fixed"/>
        <w:tblCellMar>
          <w:top w:w="0" w:type="dxa"/>
          <w:left w:w="0" w:type="dxa"/>
          <w:bottom w:w="0" w:type="dxa"/>
          <w:right w:w="0" w:type="dxa"/>
        </w:tblCellMar>
      </w:tblPr>
      <w:tblGrid>
        <w:gridCol w:w="1637"/>
        <w:gridCol w:w="3543"/>
        <w:gridCol w:w="1652"/>
        <w:gridCol w:w="1701"/>
        <w:gridCol w:w="1634"/>
        <w:gridCol w:w="1566"/>
        <w:gridCol w:w="1701"/>
        <w:gridCol w:w="1944"/>
      </w:tblGrid>
      <w:tr>
        <w:tblPrEx>
          <w:tblLayout w:type="fixed"/>
          <w:tblCellMar>
            <w:top w:w="0" w:type="dxa"/>
            <w:left w:w="0" w:type="dxa"/>
            <w:bottom w:w="0" w:type="dxa"/>
            <w:right w:w="0" w:type="dxa"/>
          </w:tblCellMar>
        </w:tblPrEx>
        <w:trPr>
          <w:trHeight w:val="654" w:hRule="atLeast"/>
        </w:trPr>
        <w:tc>
          <w:tcPr>
            <w:tcW w:w="15378"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Layout w:type="fixed"/>
          <w:tblCellMar>
            <w:top w:w="0" w:type="dxa"/>
            <w:left w:w="0" w:type="dxa"/>
            <w:bottom w:w="0" w:type="dxa"/>
            <w:right w:w="0" w:type="dxa"/>
          </w:tblCellMar>
        </w:tblPrEx>
        <w:trPr>
          <w:trHeight w:val="342" w:hRule="atLeast"/>
        </w:trPr>
        <w:tc>
          <w:tcPr>
            <w:tcW w:w="6832"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 xml:space="preserve">垫江县鹤游小学校 </w:t>
            </w: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3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6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944"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tblPrEx>
          <w:tblLayout w:type="fixed"/>
          <w:tblCellMar>
            <w:top w:w="0" w:type="dxa"/>
            <w:left w:w="0" w:type="dxa"/>
            <w:bottom w:w="0" w:type="dxa"/>
            <w:right w:w="0" w:type="dxa"/>
          </w:tblCellMar>
        </w:tblPrEx>
        <w:trPr>
          <w:trHeight w:val="342" w:hRule="atLeast"/>
        </w:trPr>
        <w:tc>
          <w:tcPr>
            <w:tcW w:w="683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3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6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944"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295" w:hRule="exact"/>
        </w:trPr>
        <w:tc>
          <w:tcPr>
            <w:tcW w:w="51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6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56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194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Layout w:type="fixed"/>
          <w:tblCellMar>
            <w:top w:w="0" w:type="dxa"/>
            <w:left w:w="0" w:type="dxa"/>
            <w:bottom w:w="0" w:type="dxa"/>
            <w:right w:w="0" w:type="dxa"/>
          </w:tblCellMar>
        </w:tblPrEx>
        <w:trPr>
          <w:trHeight w:val="312" w:hRule="exact"/>
        </w:trPr>
        <w:tc>
          <w:tcPr>
            <w:tcW w:w="1637"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543"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12" w:hRule="exac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543"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12" w:hRule="exac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543"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12" w:hRule="exac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543"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295" w:hRule="exact"/>
        </w:trPr>
        <w:tc>
          <w:tcPr>
            <w:tcW w:w="51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6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1,461.18</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1,326.90</w:t>
            </w:r>
            <w:r>
              <w:rPr>
                <w:rFonts w:ascii="Times New Roman" w:hAnsi="Times New Roman"/>
                <w:b/>
                <w:color w:val="000000"/>
                <w:sz w:val="20"/>
              </w:rPr>
              <w:t xml:space="preserve"> </w:t>
            </w:r>
          </w:p>
        </w:tc>
        <w:tc>
          <w:tcPr>
            <w:tcW w:w="16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134.27</w:t>
            </w:r>
            <w:r>
              <w:rPr>
                <w:rFonts w:ascii="Times New Roman" w:hAnsi="Times New Roman"/>
                <w:b/>
                <w:color w:val="000000"/>
                <w:sz w:val="20"/>
              </w:rPr>
              <w:t xml:space="preserve"> </w:t>
            </w:r>
          </w:p>
        </w:tc>
        <w:tc>
          <w:tcPr>
            <w:tcW w:w="15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9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295"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995.56</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871.95</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123.60</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295"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20502</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普通教育</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993.44</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869.83</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123.60</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295"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2050201</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学前教育</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67.56</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34.89</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32.67</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95"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2050202</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小学教育</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925.87</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834.94</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90.93</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95"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2.12</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2.12</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295"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2.12</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2.12</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95"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362.93</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362.26</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0.67</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295"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362.93</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362.26</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0.67</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295"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114.38</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114.38</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95"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56.94</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56.94</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95"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191.61</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190.94</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0.67</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95"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42.13</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42.13</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295"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42.13</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42.13</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295"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42.13</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42.13</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95"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50.56</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50.56</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295"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50.56</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50.56</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295"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50.56</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50.56</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95"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灾害防治及应急管理支出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6.00</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295"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22406</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自然灾害防治</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6.00</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295"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2240601</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地质灾害防治</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6.00</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95"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4.00</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295"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22960</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彩票公益金安排的支出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4.00</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295"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2296004</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用于教育事业的彩票公益金支出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p>
    <w:p>
      <w:pPr>
        <w:rPr>
          <w:rFonts w:hint="default" w:cs="宋体"/>
          <w:sz w:val="21"/>
          <w:szCs w:val="21"/>
        </w:rPr>
      </w:pPr>
    </w:p>
    <w:tbl>
      <w:tblPr>
        <w:tblStyle w:val="7"/>
        <w:tblW w:w="14732" w:type="dxa"/>
        <w:tblInd w:w="0" w:type="dxa"/>
        <w:tblLayout w:type="fixed"/>
        <w:tblCellMar>
          <w:top w:w="0" w:type="dxa"/>
          <w:left w:w="0" w:type="dxa"/>
          <w:bottom w:w="0" w:type="dxa"/>
          <w:right w:w="0" w:type="dxa"/>
        </w:tblCellMar>
      </w:tblPr>
      <w:tblGrid>
        <w:gridCol w:w="2979"/>
        <w:gridCol w:w="1526"/>
        <w:gridCol w:w="3191"/>
        <w:gridCol w:w="1700"/>
        <w:gridCol w:w="1700"/>
        <w:gridCol w:w="1700"/>
        <w:gridCol w:w="1936"/>
      </w:tblGrid>
      <w:tr>
        <w:tblPrEx>
          <w:tblLayout w:type="fixed"/>
          <w:tblCellMar>
            <w:top w:w="0" w:type="dxa"/>
            <w:left w:w="0" w:type="dxa"/>
            <w:bottom w:w="0" w:type="dxa"/>
            <w:right w:w="0" w:type="dxa"/>
          </w:tblCellMar>
        </w:tblPrEx>
        <w:trPr>
          <w:trHeight w:val="90" w:hRule="atLeast"/>
        </w:trPr>
        <w:tc>
          <w:tcPr>
            <w:tcW w:w="14732" w:type="dxa"/>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Layout w:type="fixed"/>
          <w:tblCellMar>
            <w:top w:w="0" w:type="dxa"/>
            <w:left w:w="0" w:type="dxa"/>
            <w:bottom w:w="0" w:type="dxa"/>
            <w:right w:w="0" w:type="dxa"/>
          </w:tblCellMar>
        </w:tblPrEx>
        <w:trPr>
          <w:trHeight w:val="90" w:hRule="atLeast"/>
        </w:trPr>
        <w:tc>
          <w:tcPr>
            <w:tcW w:w="7696" w:type="dxa"/>
            <w:gridSpan w:val="3"/>
            <w:vMerge w:val="restart"/>
            <w:tcBorders>
              <w:top w:val="nil"/>
              <w:left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垫江县鹤游小学校</w:t>
            </w: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936" w:type="dxa"/>
            <w:tcBorders>
              <w:top w:val="nil"/>
              <w:left w:val="nil"/>
              <w:bottom w:val="nil"/>
              <w:right w:val="nil"/>
            </w:tcBorders>
            <w:shd w:val="clear" w:color="auto" w:fill="auto"/>
            <w:noWrap/>
            <w:tcMar>
              <w:top w:w="15" w:type="dxa"/>
              <w:left w:w="15" w:type="dxa"/>
              <w:right w:w="15" w:type="dxa"/>
            </w:tcMar>
            <w:vAlign w:val="bottom"/>
          </w:tcPr>
          <w:p>
            <w:pPr>
              <w:spacing w:line="24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696" w:type="dxa"/>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936"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50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227"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Layout w:type="fixed"/>
          <w:tblCellMar>
            <w:top w:w="0" w:type="dxa"/>
            <w:left w:w="0" w:type="dxa"/>
            <w:bottom w:w="0" w:type="dxa"/>
            <w:right w:w="0" w:type="dxa"/>
          </w:tblCellMar>
        </w:tblPrEx>
        <w:trPr>
          <w:trHeight w:val="90" w:hRule="atLeast"/>
        </w:trPr>
        <w:tc>
          <w:tcPr>
            <w:tcW w:w="297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9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36"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Layout w:type="fixed"/>
          <w:tblCellMar>
            <w:top w:w="0" w:type="dxa"/>
            <w:left w:w="0" w:type="dxa"/>
            <w:bottom w:w="0" w:type="dxa"/>
            <w:right w:w="0" w:type="dxa"/>
          </w:tblCellMar>
        </w:tblPrEx>
        <w:trPr>
          <w:trHeight w:val="90" w:hRule="atLeast"/>
        </w:trPr>
        <w:tc>
          <w:tcPr>
            <w:tcW w:w="29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5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19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1,375.31</w:t>
            </w: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4.00</w:t>
            </w: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913.68</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913.68</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362.93</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362.93</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42.13</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42.13</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50.56</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50.56</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6.00</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6.00</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4.00</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4.00</w:t>
            </w: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1,379.31</w:t>
            </w: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1,379.31</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1,375.31</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4.00</w:t>
            </w: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1,379.31</w:t>
            </w: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1,379.31</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1,375.31</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4.00</w:t>
            </w: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78" w:type="dxa"/>
        <w:tblInd w:w="0" w:type="dxa"/>
        <w:tblLayout w:type="fixed"/>
        <w:tblCellMar>
          <w:top w:w="0" w:type="dxa"/>
          <w:left w:w="0" w:type="dxa"/>
          <w:bottom w:w="0" w:type="dxa"/>
          <w:right w:w="0" w:type="dxa"/>
        </w:tblCellMar>
      </w:tblPr>
      <w:tblGrid>
        <w:gridCol w:w="1492"/>
        <w:gridCol w:w="3909"/>
        <w:gridCol w:w="3319"/>
        <w:gridCol w:w="3312"/>
        <w:gridCol w:w="3346"/>
      </w:tblGrid>
      <w:tr>
        <w:tblPrEx>
          <w:tblLayout w:type="fixed"/>
          <w:tblCellMar>
            <w:top w:w="0" w:type="dxa"/>
            <w:left w:w="0" w:type="dxa"/>
            <w:bottom w:w="0" w:type="dxa"/>
            <w:right w:w="0" w:type="dxa"/>
          </w:tblCellMar>
        </w:tblPrEx>
        <w:trPr>
          <w:trHeight w:val="510" w:hRule="atLeast"/>
        </w:trPr>
        <w:tc>
          <w:tcPr>
            <w:tcW w:w="15378" w:type="dxa"/>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Layout w:type="fixed"/>
          <w:tblCellMar>
            <w:top w:w="0" w:type="dxa"/>
            <w:left w:w="0" w:type="dxa"/>
            <w:bottom w:w="0" w:type="dxa"/>
            <w:right w:w="0" w:type="dxa"/>
          </w:tblCellMar>
        </w:tblPrEx>
        <w:trPr>
          <w:trHeight w:val="255" w:hRule="atLeast"/>
        </w:trPr>
        <w:tc>
          <w:tcPr>
            <w:tcW w:w="8720"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垫江县鹤游小学校</w:t>
            </w:r>
          </w:p>
        </w:tc>
        <w:tc>
          <w:tcPr>
            <w:tcW w:w="331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46"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tblPrEx>
          <w:tblLayout w:type="fixed"/>
          <w:tblCellMar>
            <w:top w:w="0" w:type="dxa"/>
            <w:left w:w="0" w:type="dxa"/>
            <w:bottom w:w="0" w:type="dxa"/>
            <w:right w:w="0" w:type="dxa"/>
          </w:tblCellMar>
        </w:tblPrEx>
        <w:trPr>
          <w:trHeight w:val="285" w:hRule="atLeast"/>
        </w:trPr>
        <w:tc>
          <w:tcPr>
            <w:tcW w:w="8720"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1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46"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40" w:hRule="exact"/>
        </w:trPr>
        <w:tc>
          <w:tcPr>
            <w:tcW w:w="54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997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40" w:hRule="exact"/>
        </w:trPr>
        <w:tc>
          <w:tcPr>
            <w:tcW w:w="149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90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1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1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34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40" w:hRule="exact"/>
        </w:trPr>
        <w:tc>
          <w:tcPr>
            <w:tcW w:w="14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9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1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1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4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40" w:hRule="exact"/>
        </w:trPr>
        <w:tc>
          <w:tcPr>
            <w:tcW w:w="14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9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1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1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4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40" w:hRule="exact"/>
        </w:trPr>
        <w:tc>
          <w:tcPr>
            <w:tcW w:w="5401"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1,375.31</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1,245.72</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129.58</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0" w:hRule="exac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913.68</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790.77</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122.91</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0" w:hRule="exac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20502</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普通教育</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911.56</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788.65</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122.91</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0" w:hRule="exac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2050201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学前教育</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36.37</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4.12</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32.25</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0" w:hRule="exac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2050202</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小学教育</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875.20</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784.53</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90.66</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0" w:hRule="exac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2.12</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2.12</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0" w:hRule="exac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2.12</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2.12</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0" w:hRule="exac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362.93</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362.26</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0.67</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0" w:hRule="exac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362.93</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362.26</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0.67</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0" w:hRule="exac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114.38</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114.38</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0" w:hRule="exac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56.94</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56.94</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0" w:hRule="exac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191.61</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190.94</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0.67</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0" w:hRule="exac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42.13</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42.13</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0" w:hRule="exac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42.13</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42.13</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0" w:hRule="exac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42.13</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42.13</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0" w:hRule="exac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50.56</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50.56</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0" w:hRule="exac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50.56</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50.56</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0" w:hRule="exac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50.56</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50.56</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0" w:hRule="exac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灾害防治及应急管理支出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6.00</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0" w:hRule="exac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22406</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自然灾害防治</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6.00</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0" w:hRule="exac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2240601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地质灾害防治</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6.00</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6.00</w:t>
            </w:r>
            <w:r>
              <w:rPr>
                <w:rFonts w:ascii="Times New Roman" w:hAnsi="Times New Roman"/>
                <w:color w:val="000000"/>
                <w:sz w:val="20"/>
              </w:rPr>
              <w:t xml:space="preserve"> </w:t>
            </w:r>
          </w:p>
        </w:tc>
      </w:tr>
    </w:tbl>
    <w:p>
      <w:pPr>
        <w:rPr>
          <w:rFonts w:cs="宋体"/>
          <w:sz w:val="20"/>
          <w:szCs w:val="20"/>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p>
    <w:tbl>
      <w:tblPr>
        <w:tblStyle w:val="7"/>
        <w:tblW w:w="15360" w:type="dxa"/>
        <w:tblInd w:w="0" w:type="dxa"/>
        <w:tblLayout w:type="fixed"/>
        <w:tblCellMar>
          <w:top w:w="0" w:type="dxa"/>
          <w:left w:w="0" w:type="dxa"/>
          <w:bottom w:w="0" w:type="dxa"/>
          <w:right w:w="0" w:type="dxa"/>
        </w:tblCellMar>
      </w:tblPr>
      <w:tblGrid>
        <w:gridCol w:w="605"/>
        <w:gridCol w:w="2740"/>
        <w:gridCol w:w="1376"/>
        <w:gridCol w:w="836"/>
        <w:gridCol w:w="1923"/>
        <w:gridCol w:w="1656"/>
        <w:gridCol w:w="808"/>
        <w:gridCol w:w="3527"/>
        <w:gridCol w:w="1889"/>
      </w:tblGrid>
      <w:tr>
        <w:tblPrEx>
          <w:tblLayout w:type="fixed"/>
          <w:tblCellMar>
            <w:top w:w="0" w:type="dxa"/>
            <w:left w:w="0" w:type="dxa"/>
            <w:bottom w:w="0" w:type="dxa"/>
            <w:right w:w="0" w:type="dxa"/>
          </w:tblCellMar>
        </w:tblPrEx>
        <w:trPr>
          <w:trHeight w:val="90" w:hRule="atLeast"/>
        </w:trPr>
        <w:tc>
          <w:tcPr>
            <w:tcW w:w="15360" w:type="dxa"/>
            <w:gridSpan w:val="9"/>
            <w:tcBorders>
              <w:top w:val="nil"/>
              <w:left w:val="nil"/>
              <w:bottom w:val="nil"/>
              <w:right w:val="nil"/>
            </w:tcBorders>
            <w:shd w:val="clear" w:color="auto" w:fill="auto"/>
            <w:noWrap/>
            <w:tcMar>
              <w:top w:w="15" w:type="dxa"/>
              <w:left w:w="15" w:type="dxa"/>
              <w:right w:w="15" w:type="dxa"/>
            </w:tcMar>
            <w:vAlign w:val="bottom"/>
          </w:tcPr>
          <w:p>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Layout w:type="fixed"/>
          <w:tblCellMar>
            <w:top w:w="0" w:type="dxa"/>
            <w:left w:w="0" w:type="dxa"/>
            <w:bottom w:w="0" w:type="dxa"/>
            <w:right w:w="0" w:type="dxa"/>
          </w:tblCellMar>
        </w:tblPrEx>
        <w:trPr>
          <w:trHeight w:val="90" w:hRule="atLeast"/>
        </w:trPr>
        <w:tc>
          <w:tcPr>
            <w:tcW w:w="7480" w:type="dxa"/>
            <w:gridSpan w:val="5"/>
            <w:vMerge w:val="restart"/>
            <w:tcBorders>
              <w:top w:val="nil"/>
              <w:left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垫江县鹤游小学校</w:t>
            </w:r>
          </w:p>
        </w:tc>
        <w:tc>
          <w:tcPr>
            <w:tcW w:w="1656"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08"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3527"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889"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480" w:type="dxa"/>
            <w:gridSpan w:val="5"/>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56"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08"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3527"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889"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72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w:t>
            </w:r>
          </w:p>
        </w:tc>
        <w:tc>
          <w:tcPr>
            <w:tcW w:w="10639"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w:t>
            </w:r>
          </w:p>
        </w:tc>
      </w:tr>
      <w:tr>
        <w:tblPrEx>
          <w:tblLayout w:type="fixed"/>
          <w:tblCellMar>
            <w:top w:w="0" w:type="dxa"/>
            <w:left w:w="0" w:type="dxa"/>
            <w:bottom w:w="0" w:type="dxa"/>
            <w:right w:w="0" w:type="dxa"/>
          </w:tblCellMar>
        </w:tblPrEx>
        <w:trPr>
          <w:trHeight w:val="312" w:hRule="atLeast"/>
        </w:trPr>
        <w:tc>
          <w:tcPr>
            <w:tcW w:w="6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7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37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3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92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65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08"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52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88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r>
      <w:tr>
        <w:tblPrEx>
          <w:tblLayout w:type="fixed"/>
          <w:tblCellMar>
            <w:top w:w="0" w:type="dxa"/>
            <w:left w:w="0" w:type="dxa"/>
            <w:bottom w:w="0" w:type="dxa"/>
            <w:right w:w="0" w:type="dxa"/>
          </w:tblCellMar>
        </w:tblPrEx>
        <w:trPr>
          <w:trHeight w:val="312" w:hRule="atLeast"/>
        </w:trPr>
        <w:tc>
          <w:tcPr>
            <w:tcW w:w="6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27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37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83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92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5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8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52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88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工资福利支出</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1,030.97</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302</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商品和服务支出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23.81</w:t>
            </w: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310</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资本性支出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基本工资</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210.58</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30201</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31001</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房屋建筑物购建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30102</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津贴补贴</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34.92</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30202</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印刷费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31002</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办公设备购置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30103</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30203</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咨询费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31003</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专用设备购置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30106</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伙食补助费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30204</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手续费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31005</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基础设施建设</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30107</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绩效工资</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511.08</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30205</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水费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31006</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大型修缮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30108</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114.38</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30206</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电费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31007</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30109</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职业年金缴费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56.94</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30207</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邮电费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31008</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物资储备</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30110</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42.13</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30208</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取暖费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土地补偿</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30209</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物业管理费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31010</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安置补助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30112</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其他社会保障缴费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1.42</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30211</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差旅费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31011</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30113</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住房公积金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50.56</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30212</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因公出国（境）费用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31012</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拆迁补偿</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30114</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8.96</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30213</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维修（护）费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31013</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30199</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其他工资福利支出</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30214</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租赁费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其他交通工具购置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303</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对个人和家庭的补助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190.94</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30215</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会议费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31021</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文物和陈列品购置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离休费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30216</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培训费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2.12</w:t>
            </w: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31022</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无形资产购置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30302</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退休费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30217</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公务接待费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31099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其他资本性支出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30303</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退职（役）费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30218</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专用材料费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312</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对企业补助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30304</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抚恤金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30224</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被装购置费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31201</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资本金注入</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30305</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生活补助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163.35</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30225</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专用燃料费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31203</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30306</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救济费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30226</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劳务费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31204</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费用补贴</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30307</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13.20</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30227</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委托业务费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31205</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利息补贴</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30308</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助学金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30228</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工会经费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8.84</w:t>
            </w: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31206</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30309</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奖励金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14.39</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30229</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福利费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12.86</w:t>
            </w: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31299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其他对企业补助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30310</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个人农业生产补贴</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30231</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399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其他支出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代缴社会保险费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30239</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39907</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国家赔偿费用支出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30399</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30240</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税金及附加费用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39908</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30299</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经常性赠与</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307</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债务利息及费用支出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39910</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资本性赠与</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30701</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国内债务付息</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39999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30702</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国外债务付息</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30703</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国内债务发行费用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15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30704</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国外债务发行费用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310" w:hRule="atLeast"/>
        </w:trPr>
        <w:tc>
          <w:tcPr>
            <w:tcW w:w="3345"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人员经费合计</w:t>
            </w:r>
          </w:p>
        </w:tc>
        <w:tc>
          <w:tcPr>
            <w:tcW w:w="137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1,221.91</w:t>
            </w:r>
            <w:r>
              <w:rPr>
                <w:rFonts w:ascii="Times New Roman" w:hAnsi="Times New Roman"/>
                <w:color w:val="000000"/>
                <w:sz w:val="18"/>
              </w:rPr>
              <w:t xml:space="preserve"> </w:t>
            </w:r>
          </w:p>
        </w:tc>
        <w:tc>
          <w:tcPr>
            <w:tcW w:w="8750"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公用经费合计</w:t>
            </w:r>
          </w:p>
        </w:tc>
        <w:tc>
          <w:tcPr>
            <w:tcW w:w="18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23.81</w:t>
            </w:r>
            <w:r>
              <w:rPr>
                <w:rFonts w:ascii="Times New Roman" w:hAnsi="Times New Roman"/>
                <w:color w:val="000000"/>
                <w:sz w:val="18"/>
              </w:rPr>
              <w:t xml:space="preserve"> </w:t>
            </w:r>
          </w:p>
        </w:tc>
      </w:tr>
    </w:tbl>
    <w:p>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78" w:type="dxa"/>
        <w:tblInd w:w="0" w:type="dxa"/>
        <w:tblLayout w:type="fixed"/>
        <w:tblCellMar>
          <w:top w:w="0" w:type="dxa"/>
          <w:left w:w="0" w:type="dxa"/>
          <w:bottom w:w="0" w:type="dxa"/>
          <w:right w:w="0" w:type="dxa"/>
        </w:tblCellMar>
      </w:tblPr>
      <w:tblGrid>
        <w:gridCol w:w="1642"/>
        <w:gridCol w:w="3297"/>
        <w:gridCol w:w="1707"/>
        <w:gridCol w:w="1707"/>
        <w:gridCol w:w="1707"/>
        <w:gridCol w:w="1707"/>
        <w:gridCol w:w="1772"/>
        <w:gridCol w:w="1839"/>
      </w:tblGrid>
      <w:tr>
        <w:tblPrEx>
          <w:tblLayout w:type="fixed"/>
          <w:tblCellMar>
            <w:top w:w="0" w:type="dxa"/>
            <w:left w:w="0" w:type="dxa"/>
            <w:bottom w:w="0" w:type="dxa"/>
            <w:right w:w="0" w:type="dxa"/>
          </w:tblCellMar>
        </w:tblPrEx>
        <w:trPr>
          <w:trHeight w:val="644" w:hRule="atLeast"/>
        </w:trPr>
        <w:tc>
          <w:tcPr>
            <w:tcW w:w="15378"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6646"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垫江县鹤游小学校</w:t>
            </w: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7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tblPrEx>
          <w:tblLayout w:type="fixed"/>
          <w:tblCellMar>
            <w:top w:w="0" w:type="dxa"/>
            <w:left w:w="0" w:type="dxa"/>
            <w:bottom w:w="0" w:type="dxa"/>
            <w:right w:w="0" w:type="dxa"/>
          </w:tblCellMar>
        </w:tblPrEx>
        <w:trPr>
          <w:trHeight w:val="329" w:hRule="atLeast"/>
        </w:trPr>
        <w:tc>
          <w:tcPr>
            <w:tcW w:w="6646"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7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39" w:hRule="atLeast"/>
        </w:trPr>
        <w:tc>
          <w:tcPr>
            <w:tcW w:w="49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1707"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170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5186"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Layout w:type="fixed"/>
          <w:tblCellMar>
            <w:top w:w="0" w:type="dxa"/>
            <w:left w:w="0" w:type="dxa"/>
            <w:bottom w:w="0" w:type="dxa"/>
            <w:right w:w="0" w:type="dxa"/>
          </w:tblCellMar>
        </w:tblPrEx>
        <w:trPr>
          <w:trHeight w:val="335" w:hRule="atLeast"/>
        </w:trPr>
        <w:tc>
          <w:tcPr>
            <w:tcW w:w="164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29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77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5" w:hRule="atLeast"/>
        </w:trPr>
        <w:tc>
          <w:tcPr>
            <w:tcW w:w="164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7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45" w:hRule="atLeast"/>
        </w:trPr>
        <w:tc>
          <w:tcPr>
            <w:tcW w:w="164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7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4939"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4.00</w:t>
            </w:r>
            <w:r>
              <w:rPr>
                <w:rFonts w:ascii="Times New Roman" w:hAnsi="Times New Roman"/>
                <w:b/>
                <w:color w:val="000000"/>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4.00</w:t>
            </w:r>
            <w:r>
              <w:rPr>
                <w:rFonts w:ascii="Times New Roman" w:hAnsi="Times New Roman"/>
                <w:b/>
                <w:color w:val="000000"/>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4.00</w:t>
            </w:r>
            <w:r>
              <w:rPr>
                <w:rFonts w:ascii="Times New Roman" w:hAnsi="Times New Roman"/>
                <w:b/>
                <w:color w:val="000000"/>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9" w:hRule="atLeast"/>
        </w:trPr>
        <w:tc>
          <w:tcPr>
            <w:tcW w:w="164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229</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其他支出</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4.00</w:t>
            </w:r>
            <w:r>
              <w:rPr>
                <w:rFonts w:ascii="Times New Roman" w:hAnsi="Times New Roman"/>
                <w:b/>
                <w:color w:val="000000"/>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4.00</w:t>
            </w:r>
            <w:r>
              <w:rPr>
                <w:rFonts w:ascii="Times New Roman" w:hAnsi="Times New Roman"/>
                <w:b/>
                <w:color w:val="000000"/>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4.00</w:t>
            </w:r>
            <w:r>
              <w:rPr>
                <w:rFonts w:ascii="Times New Roman" w:hAnsi="Times New Roman"/>
                <w:b/>
                <w:color w:val="000000"/>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9" w:hRule="atLeast"/>
        </w:trPr>
        <w:tc>
          <w:tcPr>
            <w:tcW w:w="164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22960</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彩票公益金安排的支出</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4.00</w:t>
            </w:r>
            <w:r>
              <w:rPr>
                <w:rFonts w:ascii="Times New Roman" w:hAnsi="Times New Roman"/>
                <w:b/>
                <w:color w:val="000000"/>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4.00</w:t>
            </w:r>
            <w:r>
              <w:rPr>
                <w:rFonts w:ascii="Times New Roman" w:hAnsi="Times New Roman"/>
                <w:b/>
                <w:color w:val="000000"/>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4.00</w:t>
            </w:r>
            <w:r>
              <w:rPr>
                <w:rFonts w:ascii="Times New Roman" w:hAnsi="Times New Roman"/>
                <w:b/>
                <w:color w:val="000000"/>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9" w:hRule="atLeast"/>
        </w:trPr>
        <w:tc>
          <w:tcPr>
            <w:tcW w:w="164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2296004</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用于教育事业的彩票公益金支出</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4.00</w:t>
            </w:r>
            <w:r>
              <w:rPr>
                <w:rFonts w:ascii="Times New Roman" w:hAnsi="Times New Roman"/>
                <w:color w:val="000000"/>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4.00</w:t>
            </w:r>
            <w:r>
              <w:rPr>
                <w:rFonts w:ascii="Times New Roman" w:hAnsi="Times New Roman"/>
                <w:color w:val="000000"/>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4.00</w:t>
            </w:r>
            <w:r>
              <w:rPr>
                <w:rFonts w:ascii="Times New Roman" w:hAnsi="Times New Roman"/>
                <w:color w:val="000000"/>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1"/>
          <w:szCs w:val="21"/>
        </w:rPr>
      </w:pPr>
      <w:r>
        <w:rPr>
          <w:rFonts w:cs="宋体"/>
          <w:sz w:val="20"/>
          <w:szCs w:val="20"/>
        </w:rPr>
        <w:t>备注：1.本表反映单位本年度政府性基金预算财政拨款收入支出及结转和结余情况。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7"/>
        <w:tblW w:w="15378" w:type="dxa"/>
        <w:tblInd w:w="0" w:type="dxa"/>
        <w:tblLayout w:type="fixed"/>
        <w:tblCellMar>
          <w:top w:w="0" w:type="dxa"/>
          <w:left w:w="0" w:type="dxa"/>
          <w:bottom w:w="0" w:type="dxa"/>
          <w:right w:w="0" w:type="dxa"/>
        </w:tblCellMar>
      </w:tblPr>
      <w:tblGrid>
        <w:gridCol w:w="2008"/>
        <w:gridCol w:w="2928"/>
        <w:gridCol w:w="3276"/>
        <w:gridCol w:w="200"/>
        <w:gridCol w:w="3475"/>
        <w:gridCol w:w="77"/>
        <w:gridCol w:w="3414"/>
      </w:tblGrid>
      <w:tr>
        <w:tblPrEx>
          <w:tblLayout w:type="fixed"/>
          <w:tblCellMar>
            <w:top w:w="0" w:type="dxa"/>
            <w:left w:w="0" w:type="dxa"/>
            <w:bottom w:w="0" w:type="dxa"/>
            <w:right w:w="0" w:type="dxa"/>
          </w:tblCellMar>
        </w:tblPrEx>
        <w:trPr>
          <w:trHeight w:val="650" w:hRule="atLeast"/>
        </w:trPr>
        <w:tc>
          <w:tcPr>
            <w:tcW w:w="15378" w:type="dxa"/>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8212"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垫江县鹤游小学校</w:t>
            </w:r>
          </w:p>
        </w:tc>
        <w:tc>
          <w:tcPr>
            <w:tcW w:w="3752"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414"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tblPrEx>
          <w:tblLayout w:type="fixed"/>
          <w:tblCellMar>
            <w:top w:w="0" w:type="dxa"/>
            <w:left w:w="0" w:type="dxa"/>
            <w:bottom w:w="0" w:type="dxa"/>
            <w:right w:w="0" w:type="dxa"/>
          </w:tblCellMar>
        </w:tblPrEx>
        <w:trPr>
          <w:trHeight w:val="332" w:hRule="atLeast"/>
        </w:trPr>
        <w:tc>
          <w:tcPr>
            <w:tcW w:w="821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752"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414"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22" w:hRule="atLeast"/>
        </w:trPr>
        <w:tc>
          <w:tcPr>
            <w:tcW w:w="493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0442"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39" w:hRule="atLeast"/>
        </w:trPr>
        <w:tc>
          <w:tcPr>
            <w:tcW w:w="2008"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292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3476"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7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491"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39" w:hRule="atLeast"/>
        </w:trPr>
        <w:tc>
          <w:tcPr>
            <w:tcW w:w="20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2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91"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20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2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91"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26" w:hRule="atLeast"/>
        </w:trPr>
        <w:tc>
          <w:tcPr>
            <w:tcW w:w="20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2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91"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1" w:hRule="atLeast"/>
        </w:trPr>
        <w:tc>
          <w:tcPr>
            <w:tcW w:w="493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7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34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491"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488" w:hRule="atLeast"/>
        </w:trPr>
        <w:tc>
          <w:tcPr>
            <w:tcW w:w="200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347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491"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7"/>
        <w:tblW w:w="14182" w:type="dxa"/>
        <w:tblInd w:w="0" w:type="dxa"/>
        <w:tblLayout w:type="fixed"/>
        <w:tblCellMar>
          <w:top w:w="0" w:type="dxa"/>
          <w:left w:w="170" w:type="dxa"/>
          <w:bottom w:w="0" w:type="dxa"/>
          <w:right w:w="170" w:type="dxa"/>
        </w:tblCellMar>
      </w:tblPr>
      <w:tblGrid>
        <w:gridCol w:w="3188"/>
        <w:gridCol w:w="2425"/>
        <w:gridCol w:w="2383"/>
        <w:gridCol w:w="3684"/>
        <w:gridCol w:w="2502"/>
      </w:tblGrid>
      <w:tr>
        <w:tblPrEx>
          <w:tblLayout w:type="fixed"/>
          <w:tblCellMar>
            <w:top w:w="0" w:type="dxa"/>
            <w:left w:w="170" w:type="dxa"/>
            <w:bottom w:w="0" w:type="dxa"/>
            <w:right w:w="170" w:type="dxa"/>
          </w:tblCellMar>
        </w:tblPrEx>
        <w:trPr>
          <w:trHeight w:val="343" w:hRule="atLeast"/>
        </w:trPr>
        <w:tc>
          <w:tcPr>
            <w:tcW w:w="14182" w:type="dxa"/>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Layout w:type="fixed"/>
          <w:tblCellMar>
            <w:top w:w="0" w:type="dxa"/>
            <w:left w:w="170" w:type="dxa"/>
            <w:bottom w:w="0" w:type="dxa"/>
            <w:right w:w="170" w:type="dxa"/>
          </w:tblCellMar>
        </w:tblPrEx>
        <w:trPr>
          <w:trHeight w:val="244" w:hRule="atLeast"/>
        </w:trPr>
        <w:tc>
          <w:tcPr>
            <w:tcW w:w="3188"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25" w:type="dxa"/>
            <w:shd w:val="clear" w:color="auto" w:fill="auto"/>
            <w:noWrap/>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2383" w:type="dxa"/>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84"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502" w:type="dxa"/>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Layout w:type="fixed"/>
          <w:tblCellMar>
            <w:top w:w="0" w:type="dxa"/>
            <w:left w:w="170" w:type="dxa"/>
            <w:bottom w:w="0" w:type="dxa"/>
            <w:right w:w="170" w:type="dxa"/>
          </w:tblCellMar>
        </w:tblPrEx>
        <w:trPr>
          <w:trHeight w:val="244" w:hRule="atLeast"/>
        </w:trPr>
        <w:tc>
          <w:tcPr>
            <w:tcW w:w="5613"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r>
              <w:rPr>
                <w:rFonts w:cs="宋体"/>
                <w:kern w:val="2"/>
                <w:sz w:val="20"/>
                <w:szCs w:val="20"/>
              </w:rPr>
              <w:t>单位</w:t>
            </w:r>
            <w:r>
              <w:rPr>
                <w:rFonts w:cs="宋体"/>
                <w:color w:val="000000"/>
                <w:kern w:val="2"/>
                <w:sz w:val="20"/>
                <w:szCs w:val="20"/>
              </w:rPr>
              <w:t>：</w:t>
            </w:r>
            <w:r>
              <w:rPr>
                <w:color w:val="000000"/>
                <w:sz w:val="20"/>
              </w:rPr>
              <w:t>垫江县鹤游小学校</w:t>
            </w:r>
          </w:p>
        </w:tc>
        <w:tc>
          <w:tcPr>
            <w:tcW w:w="2383"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84"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502"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Layout w:type="fixed"/>
          <w:tblCellMar>
            <w:top w:w="0" w:type="dxa"/>
            <w:left w:w="170" w:type="dxa"/>
            <w:bottom w:w="0" w:type="dxa"/>
            <w:right w:w="170" w:type="dxa"/>
          </w:tblCellMar>
        </w:tblPrEx>
        <w:trPr>
          <w:trHeight w:val="28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Layout w:type="fixed"/>
          <w:tblCellMar>
            <w:top w:w="0" w:type="dxa"/>
            <w:left w:w="170" w:type="dxa"/>
            <w:bottom w:w="0" w:type="dxa"/>
            <w:right w:w="170" w:type="dxa"/>
          </w:tblCellMar>
        </w:tblPrEx>
        <w:trPr>
          <w:trHeight w:val="28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86"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kern w:val="2"/>
                <w:sz w:val="16"/>
                <w:szCs w:val="16"/>
              </w:rPr>
            </w:pP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5.04</w:t>
            </w: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kern w:val="2"/>
                <w:sz w:val="16"/>
                <w:szCs w:val="16"/>
              </w:rPr>
            </w:pP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8.55</w:t>
            </w: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sz w:val="16"/>
                <w:szCs w:val="16"/>
              </w:rPr>
            </w:pP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sz w:val="16"/>
                <w:szCs w:val="16"/>
              </w:rPr>
            </w:pPr>
          </w:p>
        </w:tc>
      </w:tr>
    </w:tbl>
    <w:p>
      <w:pPr>
        <w:rPr>
          <w:rFonts w:hint="default" w:cs="宋体"/>
          <w:sz w:val="21"/>
          <w:szCs w:val="21"/>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839" w:h="11907"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Arial Unicode MS"/>
    <w:panose1 w:val="02000000000000000000"/>
    <w:charset w:val="86"/>
    <w:family w:val="script"/>
    <w:pitch w:val="default"/>
    <w:sig w:usb0="00000000" w:usb1="00000000" w:usb2="00000000" w:usb3="00000000" w:csb0="00000000" w:csb1="00000000"/>
  </w:font>
  <w:font w:name="方正黑体_GBK">
    <w:altName w:val="Arial Unicode MS"/>
    <w:panose1 w:val="02010600010101010101"/>
    <w:charset w:val="86"/>
    <w:family w:val="script"/>
    <w:pitch w:val="default"/>
    <w:sig w:usb0="00000000" w:usb1="00000000" w:usb2="00000000" w:usb3="00000000" w:csb0="00000000" w:csb1="00000000"/>
  </w:font>
  <w:font w:name="仿宋_GB2312">
    <w:altName w:val="仿宋"/>
    <w:panose1 w:val="00000000000000000000"/>
    <w:charset w:val="86"/>
    <w:family w:val="roman"/>
    <w:pitch w:val="default"/>
    <w:sig w:usb0="00000000" w:usb1="00000000" w:usb2="00000000" w:usb3="00000000" w:csb0="00040000" w:csb1="00000000"/>
  </w:font>
  <w:font w:name="方正楷体_GBK">
    <w:altName w:val="Arial Unicode MS"/>
    <w:panose1 w:val="02000000000000000000"/>
    <w:charset w:val="86"/>
    <w:family w:val="script"/>
    <w:pitch w:val="default"/>
    <w:sig w:usb0="00000000" w:usb1="00000000" w:usb2="00000000" w:usb3="00000000" w:csb0="00000000" w:csb1="00000000"/>
  </w:font>
  <w:font w:name="方正仿宋_GBK">
    <w:altName w:val="Arial Unicode MS"/>
    <w:panose1 w:val="02000000000000000000"/>
    <w:charset w:val="86"/>
    <w:family w:val="script"/>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fldChar w:fldCharType="begin"/>
                          </w:r>
                          <w:r>
                            <w:instrText xml:space="preserve"> PAGE  \* MERGEFORMAT </w:instrText>
                          </w:r>
                          <w:r>
                            <w:fldChar w:fldCharType="separate"/>
                          </w:r>
                          <w:r>
                            <w:rPr>
                              <w:rFonts w:hint="default"/>
                            </w:rPr>
                            <w:t>- 7 -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QVUF0UAgAAFQQAAA4AAABkcnMvZTJvRG9jLnhtbK1TzY7TMBC+I/EO&#10;lu80aRGrqmq6KrsqQqrYlQri7DpOE8l/st0m5QHgDThx4c5z9Tn47CRdBJwQF3s8M56fb75Z3nZK&#10;kpNwvjG6oNNJTonQ3JSNPhT0w/vNizklPjBdMmm0KOhZeHq7ev5s2dqFmJnayFI4giDaL1pb0DoE&#10;u8gyz2uhmJ8YKzSMlXGKBTzdISsdaxFdyWyW5zdZa1xpneHCe2jveyNdpfhVJXh4qCovApEFRW0h&#10;nS6d+3hmqyVbHByzdcOHMtg/VKFYo5H0GuqeBUaOrvkjlGq4M95UYcKNykxVNVykHtDNNP+tm13N&#10;rEi9ABxvrzD5/xeWvzs9OtKUmB0lmimM6PL1y+Xbj8v3z2Qa4WmtX8BrZ+EXutemi66D3kMZu+4q&#10;p+KNfgjsAPp8BVd0gfD4aT6bz3OYOGzjA3Gyp+/W+fBGGEWiUFCH6SVQ2WnrQ+86usRs2mwaKaFn&#10;C6lJW9Cbl6/y9OFqQXCpo4NIXBjCxJb60qMUun039LM35RltOtPzxFu+aVDKlvnwyByIgfJB9vCA&#10;o5IGKc0gUVIb9+lv+uiPecFKSQuiFVRjEyiRbzXmGDk5Cm4U9qOgj+rOgLmYDWpJIj64IEexckZ9&#10;xAasYw6YmObIVNAwinehJzs2iIv1OjmBeZaFrd5ZHkNHeLxdHwPgTChHUHokMJ34APfSnIY9ieT+&#10;9Z28nrZ59R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dBVQXRQCAAAVBAAADgAAAAAAAAAB&#10;ACAAAAAfAQAAZHJzL2Uyb0RvYy54bWxQSwUGAAAAAAYABgBZAQAApQUAAAAA&#10;">
              <v:fill on="f" focussize="0,0"/>
              <v:stroke on="f" weight="0.5pt"/>
              <v:imagedata o:title=""/>
              <o:lock v:ext="edit" aspectratio="f"/>
              <v:textbox inset="0mm,0mm,0mm,0mm" style="mso-fit-shape-to-text:t;">
                <w:txbxContent>
                  <w:p>
                    <w:pPr>
                      <w:pStyle w:val="3"/>
                      <w:rPr>
                        <w:rFonts w:hint="default"/>
                      </w:rPr>
                    </w:pPr>
                    <w:r>
                      <w:fldChar w:fldCharType="begin"/>
                    </w:r>
                    <w:r>
                      <w:instrText xml:space="preserve"> PAGE  \* MERGEFORMAT </w:instrText>
                    </w:r>
                    <w:r>
                      <w:fldChar w:fldCharType="separate"/>
                    </w:r>
                    <w:r>
                      <w:rPr>
                        <w:rFonts w:hint="default"/>
                      </w:rPr>
                      <w:t>- 7 -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23 -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23 -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239C6"/>
    <w:rsid w:val="000516E9"/>
    <w:rsid w:val="001D3BB7"/>
    <w:rsid w:val="002B254B"/>
    <w:rsid w:val="00466C9B"/>
    <w:rsid w:val="0050761F"/>
    <w:rsid w:val="00550ABE"/>
    <w:rsid w:val="007266C6"/>
    <w:rsid w:val="00770383"/>
    <w:rsid w:val="007819D4"/>
    <w:rsid w:val="007B419D"/>
    <w:rsid w:val="007B7C4B"/>
    <w:rsid w:val="007D3D39"/>
    <w:rsid w:val="00994AF7"/>
    <w:rsid w:val="009B67B8"/>
    <w:rsid w:val="009D2B67"/>
    <w:rsid w:val="00A566F9"/>
    <w:rsid w:val="00AF2751"/>
    <w:rsid w:val="00B03CCD"/>
    <w:rsid w:val="00BD0386"/>
    <w:rsid w:val="00BE2B89"/>
    <w:rsid w:val="00C10E9E"/>
    <w:rsid w:val="00C20C3E"/>
    <w:rsid w:val="00CF2ACF"/>
    <w:rsid w:val="00D91A96"/>
    <w:rsid w:val="00F47C57"/>
    <w:rsid w:val="00F7223F"/>
    <w:rsid w:val="00F73F90"/>
    <w:rsid w:val="00FB4B3B"/>
    <w:rsid w:val="01474EBF"/>
    <w:rsid w:val="01F3521E"/>
    <w:rsid w:val="03B87EA0"/>
    <w:rsid w:val="03E3214F"/>
    <w:rsid w:val="044C50BA"/>
    <w:rsid w:val="05BC6D49"/>
    <w:rsid w:val="06194FF1"/>
    <w:rsid w:val="06A2550B"/>
    <w:rsid w:val="06F80EE2"/>
    <w:rsid w:val="07001CCA"/>
    <w:rsid w:val="075678DB"/>
    <w:rsid w:val="079D7CC7"/>
    <w:rsid w:val="08051BCA"/>
    <w:rsid w:val="086C12F4"/>
    <w:rsid w:val="08705944"/>
    <w:rsid w:val="08BA052C"/>
    <w:rsid w:val="08DB07BA"/>
    <w:rsid w:val="0969353F"/>
    <w:rsid w:val="098305D0"/>
    <w:rsid w:val="0A3317EA"/>
    <w:rsid w:val="0A5C4B69"/>
    <w:rsid w:val="0A86124A"/>
    <w:rsid w:val="0AB54CC0"/>
    <w:rsid w:val="0B156E0E"/>
    <w:rsid w:val="0B9335CE"/>
    <w:rsid w:val="0BF2311A"/>
    <w:rsid w:val="0C2A5909"/>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63A6CEE"/>
    <w:rsid w:val="173708E3"/>
    <w:rsid w:val="17C374FC"/>
    <w:rsid w:val="182E4AB6"/>
    <w:rsid w:val="189079DC"/>
    <w:rsid w:val="189B0D0B"/>
    <w:rsid w:val="18B43F7C"/>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1A2648C"/>
    <w:rsid w:val="220A5CEA"/>
    <w:rsid w:val="22403BD3"/>
    <w:rsid w:val="24B92327"/>
    <w:rsid w:val="24C14514"/>
    <w:rsid w:val="2533755C"/>
    <w:rsid w:val="25791755"/>
    <w:rsid w:val="26396DF4"/>
    <w:rsid w:val="27167136"/>
    <w:rsid w:val="271B442C"/>
    <w:rsid w:val="27B23302"/>
    <w:rsid w:val="29310A5F"/>
    <w:rsid w:val="29C37A35"/>
    <w:rsid w:val="2A076083"/>
    <w:rsid w:val="2A73162E"/>
    <w:rsid w:val="2B167953"/>
    <w:rsid w:val="2B200583"/>
    <w:rsid w:val="2B8209DE"/>
    <w:rsid w:val="2C636760"/>
    <w:rsid w:val="2C6762A3"/>
    <w:rsid w:val="2FCA4B37"/>
    <w:rsid w:val="2FE029D7"/>
    <w:rsid w:val="2FF06E00"/>
    <w:rsid w:val="30586FEC"/>
    <w:rsid w:val="315F0B22"/>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DD7F09"/>
    <w:rsid w:val="3B1705E5"/>
    <w:rsid w:val="3B18334B"/>
    <w:rsid w:val="3B36794F"/>
    <w:rsid w:val="3B6F6EE0"/>
    <w:rsid w:val="3C566AD6"/>
    <w:rsid w:val="3C594871"/>
    <w:rsid w:val="3C6A5B02"/>
    <w:rsid w:val="3D2757A1"/>
    <w:rsid w:val="3D3D4FC4"/>
    <w:rsid w:val="3DDF3AB1"/>
    <w:rsid w:val="3E1D0952"/>
    <w:rsid w:val="3E42660A"/>
    <w:rsid w:val="3E7555B1"/>
    <w:rsid w:val="3E787ED9"/>
    <w:rsid w:val="3F032E93"/>
    <w:rsid w:val="3F0527E5"/>
    <w:rsid w:val="3F694D83"/>
    <w:rsid w:val="3F885DCC"/>
    <w:rsid w:val="3FCD675E"/>
    <w:rsid w:val="4004000C"/>
    <w:rsid w:val="40BD5482"/>
    <w:rsid w:val="411B6CE5"/>
    <w:rsid w:val="412070D7"/>
    <w:rsid w:val="41314E40"/>
    <w:rsid w:val="41E0734B"/>
    <w:rsid w:val="426C1EA8"/>
    <w:rsid w:val="42736402"/>
    <w:rsid w:val="42E86A87"/>
    <w:rsid w:val="43307B09"/>
    <w:rsid w:val="439A3EB9"/>
    <w:rsid w:val="43BB152F"/>
    <w:rsid w:val="44C37687"/>
    <w:rsid w:val="45CB699A"/>
    <w:rsid w:val="45E2495B"/>
    <w:rsid w:val="465B470D"/>
    <w:rsid w:val="469D6AD4"/>
    <w:rsid w:val="471E6C84"/>
    <w:rsid w:val="4748792B"/>
    <w:rsid w:val="475D719D"/>
    <w:rsid w:val="47674801"/>
    <w:rsid w:val="48225EF7"/>
    <w:rsid w:val="488F422B"/>
    <w:rsid w:val="48E36915"/>
    <w:rsid w:val="48EB6572"/>
    <w:rsid w:val="495C4A24"/>
    <w:rsid w:val="497135DF"/>
    <w:rsid w:val="4A263DF2"/>
    <w:rsid w:val="4A6F6675"/>
    <w:rsid w:val="4B135857"/>
    <w:rsid w:val="4B7951CB"/>
    <w:rsid w:val="4B7C315C"/>
    <w:rsid w:val="4DAC4ACA"/>
    <w:rsid w:val="4DBE01D2"/>
    <w:rsid w:val="4F0C6BA3"/>
    <w:rsid w:val="4F186D58"/>
    <w:rsid w:val="50F06B6E"/>
    <w:rsid w:val="511051AF"/>
    <w:rsid w:val="51D21804"/>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829E0"/>
    <w:rsid w:val="555A3CBC"/>
    <w:rsid w:val="5582012B"/>
    <w:rsid w:val="558E4E05"/>
    <w:rsid w:val="55BE2E85"/>
    <w:rsid w:val="56530F5D"/>
    <w:rsid w:val="567700D3"/>
    <w:rsid w:val="56FF7E9E"/>
    <w:rsid w:val="578867FC"/>
    <w:rsid w:val="5842572D"/>
    <w:rsid w:val="5A3B59D6"/>
    <w:rsid w:val="5AD134D8"/>
    <w:rsid w:val="5B9A01F8"/>
    <w:rsid w:val="5C263CE4"/>
    <w:rsid w:val="5C5D2777"/>
    <w:rsid w:val="5CF66BF3"/>
    <w:rsid w:val="5D290C69"/>
    <w:rsid w:val="5F2D4A41"/>
    <w:rsid w:val="60002059"/>
    <w:rsid w:val="60C74F6C"/>
    <w:rsid w:val="60FE220F"/>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D553F9"/>
    <w:rsid w:val="66EE5541"/>
    <w:rsid w:val="67924660"/>
    <w:rsid w:val="68407834"/>
    <w:rsid w:val="6883293E"/>
    <w:rsid w:val="688412AD"/>
    <w:rsid w:val="68EB1B71"/>
    <w:rsid w:val="69E44606"/>
    <w:rsid w:val="6A6C7940"/>
    <w:rsid w:val="6AAD2300"/>
    <w:rsid w:val="6B474EF5"/>
    <w:rsid w:val="6C0A5AC5"/>
    <w:rsid w:val="6C560CAE"/>
    <w:rsid w:val="6C576495"/>
    <w:rsid w:val="6D903FF5"/>
    <w:rsid w:val="6DA955B8"/>
    <w:rsid w:val="6DE346AB"/>
    <w:rsid w:val="6DE5391A"/>
    <w:rsid w:val="6EFD1324"/>
    <w:rsid w:val="6F5A53AC"/>
    <w:rsid w:val="6FAC003D"/>
    <w:rsid w:val="6FE55E12"/>
    <w:rsid w:val="6FFB2E76"/>
    <w:rsid w:val="708F6F7F"/>
    <w:rsid w:val="70D94BD3"/>
    <w:rsid w:val="71C34D91"/>
    <w:rsid w:val="72DB435C"/>
    <w:rsid w:val="72E2613A"/>
    <w:rsid w:val="72F771F4"/>
    <w:rsid w:val="73934AD2"/>
    <w:rsid w:val="750837F0"/>
    <w:rsid w:val="754758CF"/>
    <w:rsid w:val="764F62AB"/>
    <w:rsid w:val="765C45EC"/>
    <w:rsid w:val="768A7619"/>
    <w:rsid w:val="772E1EBA"/>
    <w:rsid w:val="781926BC"/>
    <w:rsid w:val="796D60A4"/>
    <w:rsid w:val="79A031D5"/>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qFormat/>
    <w:uiPriority w:val="0"/>
    <w:rPr>
      <w:rFonts w:ascii="宋体" w:hAnsi="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emf"/><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8881</Words>
  <Characters>11879</Characters>
  <Lines>106</Lines>
  <Paragraphs>30</Paragraphs>
  <TotalTime>0</TotalTime>
  <ScaleCrop>false</ScaleCrop>
  <LinksUpToDate>false</LinksUpToDate>
  <CharactersWithSpaces>13029</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2025-09-23T01:40:48Z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3B54799F311C4D1BBF87184515A8CA0B_13</vt:lpwstr>
  </property>
  <property fmtid="{D5CDD505-2E9C-101B-9397-08002B2CF9AE}" pid="4" name="KSOTemplateDocerSaveRecord">
    <vt:lpwstr>eyJoZGlkIjoiNjM0Zjk5YTc4NjQ1NmYyOGViZjRkNWIzZWJhYTE3YWEiLCJ1c2VySWQiOiIzODk0NTM2OTAifQ==</vt:lpwstr>
  </property>
</Properties>
</file>