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垫江县建新学校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pStyle w:val="6"/>
        <w:shd w:val="clear" w:color="auto" w:fill="FFFFFF"/>
        <w:spacing w:before="0" w:beforeAutospacing="0" w:after="0" w:afterAutospacing="0" w:line="600" w:lineRule="exact"/>
        <w:ind w:firstLine="643" w:firstLineChars="200"/>
        <w:rPr>
          <w:rStyle w:val="10"/>
          <w:rFonts w:hint="default" w:ascii="黑体" w:hAnsi="黑体" w:eastAsia="黑体" w:cs="黑体"/>
          <w:sz w:val="32"/>
          <w:szCs w:val="32"/>
          <w:shd w:val="clear" w:color="auto" w:fill="FFFFFF"/>
        </w:rPr>
      </w:pPr>
    </w:p>
    <w:p>
      <w:pPr>
        <w:pStyle w:val="6"/>
        <w:shd w:val="clear" w:color="auto" w:fill="FFFFFF"/>
        <w:spacing w:before="0" w:beforeAutospacing="0" w:after="0" w:afterAutospacing="0" w:line="600" w:lineRule="exact"/>
        <w:ind w:firstLine="640" w:firstLineChars="200"/>
        <w:rPr>
          <w:rFonts w:hint="default" w:ascii="黑体" w:hAnsi="黑体" w:eastAsia="黑体" w:cs="黑体"/>
          <w:bCs/>
          <w:sz w:val="32"/>
          <w:szCs w:val="32"/>
        </w:rPr>
      </w:pPr>
      <w:r>
        <w:rPr>
          <w:rStyle w:val="10"/>
          <w:rFonts w:ascii="黑体" w:hAnsi="黑体" w:eastAsia="黑体" w:cs="黑体"/>
          <w:b w:val="0"/>
          <w:bCs/>
          <w:sz w:val="32"/>
          <w:szCs w:val="32"/>
          <w:shd w:val="clear" w:color="auto" w:fill="FFFFFF"/>
        </w:rPr>
        <w:t>一、单位基本情况</w:t>
      </w:r>
    </w:p>
    <w:p>
      <w:pPr>
        <w:pStyle w:val="6"/>
        <w:shd w:val="clear" w:color="auto" w:fill="FFFFFF"/>
        <w:spacing w:before="0" w:beforeAutospacing="0" w:after="0" w:afterAutospacing="0" w:line="600" w:lineRule="exact"/>
        <w:ind w:firstLine="643" w:firstLineChars="200"/>
        <w:rPr>
          <w:rFonts w:hint="default" w:ascii="黑体" w:hAnsi="黑体" w:eastAsia="黑体" w:cs="黑体"/>
          <w:sz w:val="32"/>
          <w:szCs w:val="32"/>
        </w:rPr>
      </w:pPr>
      <w:r>
        <w:rPr>
          <w:rStyle w:val="10"/>
          <w:rFonts w:ascii="楷体" w:hAnsi="楷体" w:eastAsia="楷体" w:cs="楷体"/>
          <w:sz w:val="32"/>
          <w:szCs w:val="32"/>
          <w:shd w:val="clear" w:color="auto" w:fill="FFFFFF"/>
        </w:rPr>
        <w:t>（一）职能职责</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负责对有严重不良行为的未成年人开展义务教育、职业技能教育、思想道德教育、行为养成教育、法治教育、心理教育、生命教育。负责学校卫生、安全、稳定工作。负责师资队伍建设等工作。</w:t>
      </w:r>
    </w:p>
    <w:p>
      <w:pPr>
        <w:pStyle w:val="6"/>
        <w:shd w:val="clear" w:color="auto" w:fill="FFFFFF"/>
        <w:spacing w:before="0" w:beforeAutospacing="0" w:after="0" w:afterAutospacing="0" w:line="600" w:lineRule="exac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本单位内设机构包含：办公室（后勤处）、安稳办（德育处）、教务处。</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领导职数：单位领导职数6名，其中：校长1名、副校长2名；内设机构领导职数3名。</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2024年度收入总计135.71万元，支出总计</w:t>
      </w:r>
      <w:r>
        <w:rPr>
          <w:rFonts w:ascii="方正仿宋_GBK" w:hAnsi="方正仿宋_GBK" w:eastAsia="方正仿宋_GBK" w:cs="方正仿宋_GBK"/>
          <w:sz w:val="32"/>
          <w:szCs w:val="32"/>
        </w:rPr>
        <w:t>135.71</w:t>
      </w:r>
      <w:r>
        <w:rPr>
          <w:rFonts w:ascii="方正仿宋_GBK" w:hAnsi="方正仿宋_GBK" w:eastAsia="方正仿宋_GBK" w:cs="方正仿宋_GBK"/>
          <w:sz w:val="32"/>
          <w:szCs w:val="32"/>
          <w:shd w:val="clear" w:color="auto" w:fill="FFFFFF"/>
        </w:rPr>
        <w:t>万元。收、支与2023年度相比，增加135.71万元，增长100.00%，主要原因是2024年新成立的建制单位，上年无数据。</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2024年度收入合计105.76万元，与2023年度相比，增加105.76万元，增长100.00%，主要原因是2024年新成立的建制单位，上年无数据。其中：财政拨款收入</w:t>
      </w:r>
      <w:r>
        <w:rPr>
          <w:rFonts w:ascii="方正仿宋_GBK" w:hAnsi="方正仿宋_GBK" w:eastAsia="方正仿宋_GBK" w:cs="方正仿宋_GBK"/>
          <w:sz w:val="32"/>
          <w:szCs w:val="32"/>
        </w:rPr>
        <w:t>80.68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76.29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25.08</w:t>
      </w:r>
      <w:r>
        <w:rPr>
          <w:rFonts w:ascii="方正仿宋_GBK" w:hAnsi="方正仿宋_GBK" w:eastAsia="方正仿宋_GBK" w:cs="方正仿宋_GBK"/>
          <w:sz w:val="32"/>
          <w:szCs w:val="32"/>
          <w:shd w:val="clear" w:color="auto" w:fill="FFFFFF"/>
        </w:rPr>
        <w:t>万元，占23.71%。此外，使用非财政拨款结余和专用结余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29.95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125.74</w:t>
      </w:r>
      <w:r>
        <w:rPr>
          <w:rFonts w:ascii="方正仿宋_GBK" w:hAnsi="方正仿宋_GBK" w:eastAsia="方正仿宋_GBK" w:cs="方正仿宋_GBK"/>
          <w:sz w:val="32"/>
          <w:szCs w:val="32"/>
          <w:shd w:val="clear" w:color="auto" w:fill="FFFFFF"/>
        </w:rPr>
        <w:t>万元，与2023年度相比，增加125.74万元，增长100.00%，主要原因是2024年新成立的建制单位，上年无数据。其中：基本支出</w:t>
      </w:r>
      <w:r>
        <w:rPr>
          <w:rFonts w:ascii="方正仿宋_GBK" w:hAnsi="方正仿宋_GBK" w:eastAsia="方正仿宋_GBK" w:cs="方正仿宋_GBK"/>
          <w:sz w:val="32"/>
          <w:szCs w:val="32"/>
        </w:rPr>
        <w:t>73.72</w:t>
      </w:r>
      <w:r>
        <w:rPr>
          <w:rFonts w:ascii="方正仿宋_GBK" w:hAnsi="方正仿宋_GBK" w:eastAsia="方正仿宋_GBK" w:cs="方正仿宋_GBK"/>
          <w:sz w:val="32"/>
          <w:szCs w:val="32"/>
          <w:shd w:val="clear" w:color="auto" w:fill="FFFFFF"/>
        </w:rPr>
        <w:t>万元，占58.63%；项目支出</w:t>
      </w:r>
      <w:r>
        <w:rPr>
          <w:rFonts w:ascii="方正仿宋_GBK" w:hAnsi="方正仿宋_GBK" w:eastAsia="方正仿宋_GBK" w:cs="方正仿宋_GBK"/>
          <w:sz w:val="32"/>
          <w:szCs w:val="32"/>
        </w:rPr>
        <w:t>52.02</w:t>
      </w:r>
      <w:r>
        <w:rPr>
          <w:rFonts w:ascii="方正仿宋_GBK" w:hAnsi="方正仿宋_GBK" w:eastAsia="方正仿宋_GBK" w:cs="方正仿宋_GBK"/>
          <w:sz w:val="32"/>
          <w:szCs w:val="32"/>
          <w:shd w:val="clear" w:color="auto" w:fill="FFFFFF"/>
        </w:rPr>
        <w:t>万元，占41.37%；经营支出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9.97</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2024年度财政拨款收、支总计110.63万元。与2023年相比，财政拨款收、支总计各增加110.63万元，增长100.00%。主要原因是2024年新成立的建制单位，上年无数据。</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方正仿宋_GBK" w:eastAsia="方正楷体_GBK" w:cs="方正仿宋_GBK"/>
          <w:sz w:val="32"/>
          <w:szCs w:val="32"/>
          <w:shd w:val="clear" w:color="auto" w:fill="FFFFFF"/>
        </w:rPr>
        <w:t>1.收入情况。</w:t>
      </w:r>
      <w:r>
        <w:rPr>
          <w:rFonts w:ascii="方正楷体_GBK" w:hAnsi="方正仿宋_GBK" w:eastAsia="方正楷体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80.68</w:t>
      </w:r>
      <w:r>
        <w:rPr>
          <w:rFonts w:ascii="方正仿宋_GBK" w:hAnsi="方正仿宋_GBK" w:eastAsia="方正仿宋_GBK" w:cs="方正仿宋_GBK"/>
          <w:sz w:val="32"/>
          <w:szCs w:val="32"/>
          <w:shd w:val="clear" w:color="auto" w:fill="FFFFFF"/>
        </w:rPr>
        <w:t>万元，与2023年度相比，增加80.68万元，增长100.00%。主要原因是2024年新成立的建制单位，上年无数据。较年初预算数增加80.68万元，增长100.00%。主要原因是2024年新成立的建制单位，年初无预算。此外，年初财政拨款结转和结余</w:t>
      </w:r>
      <w:r>
        <w:rPr>
          <w:rFonts w:ascii="方正仿宋_GBK" w:hAnsi="方正仿宋_GBK" w:eastAsia="方正仿宋_GBK" w:cs="方正仿宋_GBK"/>
          <w:sz w:val="32"/>
          <w:szCs w:val="32"/>
        </w:rPr>
        <w:t>29.95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110.63</w:t>
      </w:r>
      <w:r>
        <w:rPr>
          <w:rFonts w:ascii="方正仿宋_GBK" w:hAnsi="方正仿宋_GBK" w:eastAsia="方正仿宋_GBK" w:cs="方正仿宋_GBK"/>
          <w:sz w:val="32"/>
          <w:szCs w:val="32"/>
          <w:shd w:val="clear" w:color="auto" w:fill="FFFFFF"/>
        </w:rPr>
        <w:t>万元，与2023年度相比，增加110.63万元，增长100.00%。主要原因是2024年新成立的建制单位，上年无数据。较年初预算数增加110.63万元，增长100.00%。主要原因是2024年新成立的建制单位，年初无预算。</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98.42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88.97</w:t>
      </w:r>
      <w:r>
        <w:rPr>
          <w:rFonts w:ascii="方正仿宋_GBK" w:hAnsi="方正仿宋_GBK" w:eastAsia="方正仿宋_GBK" w:cs="方正仿宋_GBK"/>
          <w:sz w:val="32"/>
          <w:szCs w:val="32"/>
          <w:shd w:val="clear" w:color="auto" w:fill="FFFFFF"/>
        </w:rPr>
        <w:t>%，较年初预算数增加98.42万元，增长100.00%，主要原因是2024年新成立的建制单位，年初无预算。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6.55</w:t>
      </w:r>
      <w:r>
        <w:rPr>
          <w:rFonts w:ascii="方正仿宋_GBK" w:hAnsi="方正仿宋_GBK" w:eastAsia="方正仿宋_GBK" w:cs="方正仿宋_GBK"/>
          <w:sz w:val="32"/>
          <w:szCs w:val="32"/>
          <w:shd w:val="clear" w:color="auto" w:fill="FFFFFF"/>
        </w:rPr>
        <w:t>%，较年初预算数增加7.25万元，增长100.00%，主要原因是2024年新成立的建制单位，年初无预算。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%，较年初预算数增加2.21万元，增长100.00%，主要原因是2024年新成立的建制单位，年初无预算。</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2.48</w:t>
      </w:r>
      <w:r>
        <w:rPr>
          <w:rFonts w:ascii="方正仿宋_GBK" w:hAnsi="方正仿宋_GBK" w:eastAsia="方正仿宋_GBK" w:cs="方正仿宋_GBK"/>
          <w:sz w:val="32"/>
          <w:szCs w:val="32"/>
          <w:shd w:val="clear" w:color="auto" w:fill="FFFFFF"/>
        </w:rPr>
        <w:t>%，较年初预算数增加2.74万元，增长100.00%，主要原因是2024年新成立的建制单位，年初无预算。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58.69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55.69</w:t>
      </w:r>
      <w:r>
        <w:rPr>
          <w:rFonts w:ascii="方正仿宋_GBK" w:hAnsi="方正仿宋_GBK" w:eastAsia="方正仿宋_GBK" w:cs="方正仿宋_GBK"/>
          <w:sz w:val="32"/>
          <w:szCs w:val="32"/>
          <w:shd w:val="clear" w:color="auto" w:fill="FFFFFF"/>
        </w:rPr>
        <w:t>万元，与2023年度相比，增加55.69万元，增长100.00%，主要原因是2024年新成立的建制单位，上年无数据。人员经费用途主要包括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万元，与2023年度相比，增加3.00万元，增长100.00%，主要原因是2024年新成立的建制单位，上年无数据。公用经费用途主要包括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4.22</w:t>
      </w:r>
      <w:r>
        <w:rPr>
          <w:rFonts w:ascii="方正仿宋_GBK" w:hAnsi="方正仿宋_GBK" w:eastAsia="方正仿宋_GBK" w:cs="方正仿宋_GBK"/>
          <w:sz w:val="32"/>
          <w:szCs w:val="32"/>
          <w:shd w:val="clear" w:color="auto" w:fill="FFFFFF"/>
        </w:rPr>
        <w:t>万元，与2023年度相比，增加4.22万元，增长100.00%，主要原因是2024年新成立的建制单位，上年无数据</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.00%。2024年度我单位未发生政府采购事项，无相关经费支出。</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根据预算绩效管理要求，我单位对3个二级项目开展了绩效自评，涉及财政拨款项目支出资金51.94万元。</w:t>
      </w:r>
    </w:p>
    <w:p>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highlight w:val="red"/>
        </w:rPr>
      </w:pPr>
      <w:r>
        <w:drawing>
          <wp:inline distT="0" distB="0" distL="114300" distR="114300">
            <wp:extent cx="5290820" cy="4938395"/>
            <wp:effectExtent l="0" t="0" r="508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90820" cy="4938395"/>
                    </a:xfrm>
                    <a:prstGeom prst="rect">
                      <a:avLst/>
                    </a:prstGeom>
                    <a:noFill/>
                    <a:ln>
                      <a:noFill/>
                    </a:ln>
                  </pic:spPr>
                </pic:pic>
              </a:graphicData>
            </a:graphic>
          </wp:inline>
        </w:drawing>
      </w:r>
      <w:r>
        <w:t xml:space="preserve"> </w:t>
      </w:r>
      <w:r>
        <w:drawing>
          <wp:inline distT="0" distB="0" distL="0" distR="0">
            <wp:extent cx="5278755" cy="4946015"/>
            <wp:effectExtent l="0" t="0" r="762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8755" cy="4946051"/>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王老师   023-74669303</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垫江县建新学校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80.68</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113.53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25.08</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105.76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125.74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9.97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29.95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135.71</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135.71</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垫江县建新学校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105.76</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80.68</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25.08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93.55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68.47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93.55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68.47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工读学校教育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93.55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68.47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4.83</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4.83</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2.21</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2.21</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2.74</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2.74</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垫江县建新学校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125.74</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73.72</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52.02</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113.53</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61.51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52.02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113.53</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61.51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52.02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工读学校教育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113.53</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61.51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52.02</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4.83</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4.83</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2.74</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垫江县建新学校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80.68</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98.42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98.42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7.25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7.25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80.68</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110.63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110.63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29.95</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29.95</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110.63</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110.63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110.63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垫江县建新学校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110.63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58.69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51.94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98.42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46.48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51.94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98.42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46.48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51.94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工读学校教育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98.42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46.48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51.94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7.25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4.83</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4.83</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2.21</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2.74</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垫江县建新学校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55.69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11.23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0.43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21.77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4.83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0.04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10.01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55.69</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3.00</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垫江县建新学校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垫江县建新学校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垫江县建新学校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4.22</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25C35"/>
    <w:rsid w:val="001A2EB9"/>
    <w:rsid w:val="001D3BB7"/>
    <w:rsid w:val="002B254B"/>
    <w:rsid w:val="002F69A2"/>
    <w:rsid w:val="003E6A49"/>
    <w:rsid w:val="00466C9B"/>
    <w:rsid w:val="00550ABE"/>
    <w:rsid w:val="005C569B"/>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323B9"/>
    <w:rsid w:val="00F73F90"/>
    <w:rsid w:val="00F8083C"/>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7D3D31"/>
    <w:rsid w:val="163A6CEE"/>
    <w:rsid w:val="173708E3"/>
    <w:rsid w:val="17C374FC"/>
    <w:rsid w:val="182E4AB6"/>
    <w:rsid w:val="189079DC"/>
    <w:rsid w:val="189B0D0B"/>
    <w:rsid w:val="18B43F7C"/>
    <w:rsid w:val="194A1770"/>
    <w:rsid w:val="19B906A4"/>
    <w:rsid w:val="1B6F15B6"/>
    <w:rsid w:val="1BAA2EDC"/>
    <w:rsid w:val="1C8C7206"/>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6812BA"/>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1F7E8F"/>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5169</Words>
  <Characters>6188</Characters>
  <Lines>91</Lines>
  <Paragraphs>25</Paragraphs>
  <TotalTime>11</TotalTime>
  <ScaleCrop>false</ScaleCrop>
  <LinksUpToDate>false</LinksUpToDate>
  <CharactersWithSpaces>6354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2025-09-22T09:26:22Z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