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垫江县天台小学校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ind w:firstLine="643" w:firstLineChars="200"/>
        <w:rPr>
          <w:rStyle w:val="10"/>
          <w:rFonts w:ascii="方正黑体_GBK" w:eastAsia="方正黑体_GBK"/>
          <w:sz w:val="32"/>
          <w:szCs w:val="32"/>
        </w:rPr>
      </w:pPr>
    </w:p>
    <w:p>
      <w:pPr>
        <w:spacing w:line="600" w:lineRule="exact"/>
        <w:ind w:firstLine="640" w:firstLineChars="200"/>
        <w:rPr>
          <w:rStyle w:val="10"/>
          <w:rFonts w:hint="default" w:ascii="方正黑体_GBK" w:eastAsia="方正黑体_GBK"/>
          <w:b w:val="0"/>
          <w:bCs/>
          <w:sz w:val="32"/>
          <w:szCs w:val="32"/>
        </w:rPr>
      </w:pPr>
      <w:r>
        <w:rPr>
          <w:rStyle w:val="10"/>
          <w:rFonts w:ascii="方正黑体_GBK" w:eastAsia="方正黑体_GBK"/>
          <w:b w:val="0"/>
          <w:bCs/>
          <w:sz w:val="32"/>
          <w:szCs w:val="32"/>
        </w:rPr>
        <w:t>一、单位基本情况</w:t>
      </w:r>
    </w:p>
    <w:p>
      <w:pPr>
        <w:spacing w:line="600" w:lineRule="exact"/>
        <w:ind w:firstLine="643" w:firstLineChars="200"/>
        <w:rPr>
          <w:rFonts w:hint="default" w:hAnsi="方正仿宋_GBK" w:cs="方正仿宋_GBK"/>
        </w:rPr>
      </w:pPr>
      <w:r>
        <w:rPr>
          <w:rStyle w:val="10"/>
          <w:rFonts w:ascii="方正楷体_GBK" w:hAnsi="楷体" w:eastAsia="方正楷体_GBK" w:cs="楷体"/>
          <w:sz w:val="32"/>
          <w:szCs w:val="32"/>
          <w:shd w:val="clear" w:color="auto" w:fill="FFFFFF"/>
        </w:rPr>
        <w:t>（一）职能职责</w:t>
      </w:r>
    </w:p>
    <w:p>
      <w:pPr>
        <w:spacing w:line="600" w:lineRule="exact"/>
        <w:ind w:firstLine="640" w:firstLineChars="200"/>
        <w:rPr>
          <w:rFonts w:hint="default" w:ascii="方正仿宋_GBK" w:hAnsi="方正仿宋_GBK" w:eastAsia="方正仿宋_GBK" w:cs="方正仿宋_GBK"/>
          <w:sz w:val="32"/>
          <w:szCs w:val="32"/>
        </w:rPr>
      </w:pPr>
      <w:r>
        <w:rPr>
          <w:rFonts w:ascii="Times New Roman" w:hAnsi="Times New Roman" w:eastAsia="方正仿宋_GBK"/>
          <w:sz w:val="32"/>
        </w:rPr>
        <w:t>负责辖区适龄儿童义务教育工作；负责辖区学前儿童教育与保育工作。</w:t>
      </w:r>
    </w:p>
    <w:p>
      <w:pPr>
        <w:spacing w:line="60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学校单位领导职数3名，其中：校长1名、副校长2名；内设机构领导职数4名。内设机构有德育处、教务处、教科处、后勤处。</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2024年度收入总计3991.82万元，支出总计</w:t>
      </w:r>
      <w:r>
        <w:rPr>
          <w:rFonts w:ascii="方正仿宋_GBK" w:hAnsi="方正仿宋_GBK" w:eastAsia="方正仿宋_GBK" w:cs="方正仿宋_GBK"/>
          <w:sz w:val="32"/>
          <w:szCs w:val="32"/>
        </w:rPr>
        <w:t>3991.82</w:t>
      </w:r>
      <w:r>
        <w:rPr>
          <w:rFonts w:ascii="方正仿宋_GBK" w:hAnsi="方正仿宋_GBK" w:eastAsia="方正仿宋_GBK" w:cs="方正仿宋_GBK"/>
          <w:sz w:val="32"/>
          <w:szCs w:val="32"/>
          <w:shd w:val="clear" w:color="auto" w:fill="FFFFFF"/>
        </w:rPr>
        <w:t>万元。收、支与2023年度相比，增加2090.27万元，增长109.92%，主要原因是财政追加土地出让金1694.88万元所致。</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2024年度收入合计3983.74万元，与2023年度相比，增加2128.78万元，增长114.76%，主要原因是财政追加土地出让金1694.88万元所致。其中：财政拨款收入</w:t>
      </w:r>
      <w:r>
        <w:rPr>
          <w:rFonts w:ascii="方正仿宋_GBK" w:hAnsi="方正仿宋_GBK" w:eastAsia="方正仿宋_GBK" w:cs="方正仿宋_GBK"/>
          <w:sz w:val="32"/>
          <w:szCs w:val="32"/>
        </w:rPr>
        <w:t>3865.12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97.02</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118.62</w:t>
      </w:r>
      <w:r>
        <w:rPr>
          <w:rFonts w:ascii="方正仿宋_GBK" w:hAnsi="方正仿宋_GBK" w:eastAsia="方正仿宋_GBK" w:cs="方正仿宋_GBK"/>
          <w:sz w:val="32"/>
          <w:szCs w:val="32"/>
          <w:shd w:val="clear" w:color="auto" w:fill="FFFFFF"/>
        </w:rPr>
        <w:t>万元，占2.98%。此外，使用非财政拨款结余和专用结余</w:t>
      </w:r>
      <w:r>
        <w:rPr>
          <w:rFonts w:ascii="方正仿宋_GBK" w:hAnsi="方正仿宋_GBK" w:eastAsia="方正仿宋_GBK" w:cs="方正仿宋_GBK"/>
          <w:sz w:val="32"/>
          <w:szCs w:val="32"/>
        </w:rPr>
        <w:t>7.79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3991.82</w:t>
      </w:r>
      <w:r>
        <w:rPr>
          <w:rFonts w:ascii="方正仿宋_GBK" w:hAnsi="方正仿宋_GBK" w:eastAsia="方正仿宋_GBK" w:cs="方正仿宋_GBK"/>
          <w:sz w:val="32"/>
          <w:szCs w:val="32"/>
          <w:shd w:val="clear" w:color="auto" w:fill="FFFFFF"/>
        </w:rPr>
        <w:t>万元，与2023年度相比，增加2171.43万元，增长119.28%，主要原因是财政追加土地出让金1694.88万元所致。其中：基本支出</w:t>
      </w:r>
      <w:r>
        <w:rPr>
          <w:rFonts w:ascii="方正仿宋_GBK" w:hAnsi="方正仿宋_GBK" w:eastAsia="方正仿宋_GBK" w:cs="方正仿宋_GBK"/>
          <w:sz w:val="32"/>
          <w:szCs w:val="32"/>
        </w:rPr>
        <w:t>1522.59</w:t>
      </w:r>
      <w:r>
        <w:rPr>
          <w:rFonts w:ascii="方正仿宋_GBK" w:hAnsi="方正仿宋_GBK" w:eastAsia="方正仿宋_GBK" w:cs="方正仿宋_GBK"/>
          <w:sz w:val="32"/>
          <w:szCs w:val="32"/>
          <w:shd w:val="clear" w:color="auto" w:fill="FFFFFF"/>
        </w:rPr>
        <w:t>万元，占38.14%；项目支出</w:t>
      </w:r>
      <w:r>
        <w:rPr>
          <w:rFonts w:ascii="方正仿宋_GBK" w:hAnsi="方正仿宋_GBK" w:eastAsia="方正仿宋_GBK" w:cs="方正仿宋_GBK"/>
          <w:sz w:val="32"/>
          <w:szCs w:val="32"/>
        </w:rPr>
        <w:t>2469.23</w:t>
      </w:r>
      <w:r>
        <w:rPr>
          <w:rFonts w:ascii="方正仿宋_GBK" w:hAnsi="方正仿宋_GBK" w:eastAsia="方正仿宋_GBK" w:cs="方正仿宋_GBK"/>
          <w:sz w:val="32"/>
          <w:szCs w:val="32"/>
          <w:shd w:val="clear" w:color="auto" w:fill="FFFFFF"/>
        </w:rPr>
        <w:t>万元，占61.86%；经营支出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万元，与2023年度相比，减少0.29万元，下降100.00%，主要原因是2023年结余资金2024年使用完。</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2024年度财政拨款收、支总计3865.41万元。与2023年相比，财政拨款收、支总计各增加2137.72万元，增长123.73%。主要原因是财政追加土地出让金1694.88万元所致。</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2170.24</w:t>
      </w:r>
      <w:r>
        <w:rPr>
          <w:rFonts w:ascii="方正仿宋_GBK" w:hAnsi="方正仿宋_GBK" w:eastAsia="方正仿宋_GBK" w:cs="方正仿宋_GBK"/>
          <w:sz w:val="32"/>
          <w:szCs w:val="32"/>
          <w:shd w:val="clear" w:color="auto" w:fill="FFFFFF"/>
        </w:rPr>
        <w:t>万元，与2023年度相比，增加447.14万元，增长25.95%。主要原因是新校区设施设备采购增加。较年初预算数增加815.16万元，增长60.16%。主要原因是超额绩效纳入养老保险和职业年金基数及采购项目经费增加。此外，年初财政拨款结转和结余</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2170.53</w:t>
      </w:r>
      <w:r>
        <w:rPr>
          <w:rFonts w:ascii="方正仿宋_GBK" w:hAnsi="方正仿宋_GBK" w:eastAsia="方正仿宋_GBK" w:cs="方正仿宋_GBK"/>
          <w:sz w:val="32"/>
          <w:szCs w:val="32"/>
          <w:shd w:val="clear" w:color="auto" w:fill="FFFFFF"/>
        </w:rPr>
        <w:t>万元，与2023年度相比，增加443.13万元，增长25.65%。主要原因是新校区设施设备采购增加。较年初预算数增加815.45万元，增长60.18%。主要原因是超额绩效纳入养老保险和职业年金基数及采购项目经费增加。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万元，与2023年度相比，减少0.29万元，下降100.00%，主要原因是2023年结转资金2938.32元本年全部使用完。</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1687.86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77.76</w:t>
      </w:r>
      <w:r>
        <w:rPr>
          <w:rFonts w:ascii="方正仿宋_GBK" w:hAnsi="方正仿宋_GBK" w:eastAsia="方正仿宋_GBK" w:cs="方正仿宋_GBK"/>
          <w:sz w:val="32"/>
          <w:szCs w:val="32"/>
          <w:shd w:val="clear" w:color="auto" w:fill="FFFFFF"/>
        </w:rPr>
        <w:t>%，较年初预算数增加747.92万元，增长79.57%，主要原因是本年预算执行中因教职工正常晋升、岗位职级变化等人员经费和设施设备采购项目增加所致。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367.92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16.95</w:t>
      </w:r>
      <w:r>
        <w:rPr>
          <w:rFonts w:ascii="方正仿宋_GBK" w:hAnsi="方正仿宋_GBK" w:eastAsia="方正仿宋_GBK" w:cs="方正仿宋_GBK"/>
          <w:sz w:val="32"/>
          <w:szCs w:val="32"/>
          <w:shd w:val="clear" w:color="auto" w:fill="FFFFFF"/>
        </w:rPr>
        <w:t>%，较年初预算数增加71.12万元，增长23.96%，主要原因是本年预算执行中将超额绩效纳入养老保险和职业年金基数增加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52.23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w:t>
      </w:r>
      <w:r>
        <w:rPr>
          <w:rFonts w:ascii="方正仿宋_GBK" w:hAnsi="方正仿宋_GBK" w:eastAsia="方正仿宋_GBK" w:cs="方正仿宋_GBK"/>
          <w:sz w:val="32"/>
          <w:szCs w:val="32"/>
          <w:shd w:val="clear" w:color="auto" w:fill="FFFFFF"/>
        </w:rPr>
        <w:t>%，较年初预算数减少1.56万元，下降2.90%，主要原因是本年预算执行中因教职工退休减少了缴费基数。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住房保障支出62.52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%，较年初预算数减少2.03万元，下降3.14%，主要原因是本年预算执行中因教职工退休减少了缴费基数。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1396.63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1371.33</w:t>
      </w:r>
      <w:r>
        <w:rPr>
          <w:rFonts w:ascii="方正仿宋_GBK" w:hAnsi="方正仿宋_GBK" w:eastAsia="方正仿宋_GBK" w:cs="方正仿宋_GBK"/>
          <w:sz w:val="32"/>
          <w:szCs w:val="32"/>
          <w:shd w:val="clear" w:color="auto" w:fill="FFFFFF"/>
        </w:rPr>
        <w:t>万元，与2023年度相比，减少204.17万元，下降12.96%，主要原因是2023年清算补发以前年度超额绩效和健康休养费。人员经费用途主要包括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25.31</w:t>
      </w:r>
      <w:r>
        <w:rPr>
          <w:rFonts w:ascii="方正仿宋_GBK" w:hAnsi="方正仿宋_GBK" w:eastAsia="方正仿宋_GBK" w:cs="方正仿宋_GBK"/>
          <w:sz w:val="32"/>
          <w:szCs w:val="32"/>
          <w:shd w:val="clear" w:color="auto" w:fill="FFFFFF"/>
        </w:rPr>
        <w:t>万元，与2023年度相比，减少2.70万元，下降9.64%，主要原因是工会经费、培训费、福利费的预算基数减少所致。公用经费用途主要包括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1694.88</w:t>
      </w:r>
      <w:r>
        <w:rPr>
          <w:rFonts w:ascii="方正仿宋_GBK" w:hAnsi="方正仿宋_GBK" w:eastAsia="方正仿宋_GBK" w:cs="方正仿宋_GBK"/>
          <w:sz w:val="32"/>
          <w:szCs w:val="32"/>
          <w:shd w:val="clear" w:color="auto" w:fill="FFFFFF"/>
        </w:rPr>
        <w:t>万元，与2023年度相比，增加1694.88万元，增长100.00%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1694.88</w:t>
      </w:r>
      <w:r>
        <w:rPr>
          <w:rFonts w:ascii="方正仿宋_GBK" w:hAnsi="方正仿宋_GBK" w:eastAsia="方正仿宋_GBK" w:cs="方正仿宋_GBK"/>
          <w:sz w:val="32"/>
          <w:szCs w:val="32"/>
          <w:shd w:val="clear" w:color="auto" w:fill="FFFFFF"/>
        </w:rPr>
        <w:t>万元，与2023年度相比，增加1694.88万元，增长100.00%，主要原因是财政追加政府性基金1694.88万元支付土地偿还金。</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hint="eastAsia" w:ascii="方正楷体_GBK" w:hAnsi="楷体" w:eastAsia="方正仿宋_GBK" w:cs="楷体"/>
          <w:b/>
          <w:bCs/>
          <w:sz w:val="32"/>
          <w:szCs w:val="32"/>
          <w:shd w:val="clear" w:color="auto" w:fill="FFFFFF"/>
          <w:lang w:eastAsia="zh-CN"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万元，与2023年度相比，减少0.92万元，下降19.74%，主要原因是</w:t>
      </w:r>
      <w:r>
        <w:rPr>
          <w:rFonts w:hint="eastAsia" w:ascii="方正仿宋_GBK" w:hAnsi="方正仿宋_GBK" w:eastAsia="方正仿宋_GBK" w:cs="方正仿宋_GBK"/>
          <w:sz w:val="32"/>
          <w:szCs w:val="32"/>
          <w:shd w:val="clear" w:color="auto" w:fill="FFFFFF"/>
        </w:rPr>
        <w:t>学校</w:t>
      </w:r>
      <w:r>
        <w:rPr>
          <w:rFonts w:ascii="方正仿宋_GBK" w:hAnsi="方正仿宋_GBK" w:eastAsia="方正仿宋_GBK" w:cs="方正仿宋_GBK"/>
          <w:sz w:val="32"/>
          <w:szCs w:val="32"/>
          <w:shd w:val="clear" w:color="auto" w:fill="FFFFFF"/>
        </w:rPr>
        <w:t>压缩公用经费支出，减少了师资队伍的培训</w:t>
      </w:r>
      <w:r>
        <w:rPr>
          <w:rFonts w:hint="eastAsia" w:ascii="方正仿宋_GBK" w:hAnsi="方正仿宋_GBK" w:eastAsia="方正仿宋_GBK" w:cs="方正仿宋_GBK"/>
          <w:sz w:val="32"/>
          <w:szCs w:val="32"/>
          <w:shd w:val="clear" w:color="auto" w:fill="FFFFFF"/>
          <w:lang w:eastAsia="zh-CN"/>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根据预算绩效管理要求，我单位对10个二级项目开展了绩效自评，涉及财政拨款项目支出资金773.90万元。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443855" cy="4864735"/>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443855" cy="4864735"/>
                    </a:xfrm>
                    <a:prstGeom prst="rect">
                      <a:avLst/>
                    </a:prstGeom>
                    <a:noFill/>
                    <a:ln>
                      <a:noFill/>
                    </a:ln>
                  </pic:spPr>
                </pic:pic>
              </a:graphicData>
            </a:graphic>
          </wp:inline>
        </w:drawing>
      </w:r>
      <w:r>
        <w:drawing>
          <wp:inline distT="0" distB="0" distL="114300" distR="114300">
            <wp:extent cx="5420360" cy="4946015"/>
            <wp:effectExtent l="0" t="0" r="889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420360" cy="4946015"/>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Style w:val="10"/>
          <w:rFonts w:hint="default" w:ascii="方正黑体_GBK" w:hAnsi="Times New Roman" w:eastAsia="方正黑体_GBK"/>
          <w:b w:val="0"/>
          <w:bCs/>
          <w:sz w:val="32"/>
          <w:szCs w:val="32"/>
        </w:rPr>
      </w:pPr>
      <w:r>
        <w:rPr>
          <w:rStyle w:val="10"/>
          <w:rFonts w:ascii="方正黑体_GBK" w:hAnsi="Times New Roman" w:eastAsia="方正黑体_GBK"/>
          <w:b w:val="0"/>
          <w:bCs/>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Style w:val="10"/>
          <w:rFonts w:ascii="方正黑体_GBK" w:hAnsi="Times New Roman" w:eastAsia="方正黑体_GBK"/>
          <w:b w:val="0"/>
          <w:bCs/>
          <w:sz w:val="32"/>
          <w:szCs w:val="32"/>
        </w:rPr>
      </w:pPr>
      <w:r>
        <w:rPr>
          <w:rStyle w:val="10"/>
          <w:rFonts w:ascii="方正黑体_GBK" w:hAnsi="Times New Roman" w:eastAsia="方正黑体_GBK"/>
          <w:b w:val="0"/>
          <w:bCs/>
          <w:sz w:val="32"/>
          <w:szCs w:val="32"/>
        </w:rPr>
        <w:t>七、决算公开联系方式及信息反馈渠道</w:t>
      </w:r>
    </w:p>
    <w:p>
      <w:pPr>
        <w:pStyle w:val="6"/>
        <w:shd w:val="clear" w:color="auto" w:fill="FFFFFF"/>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rPr>
          <w:rFonts w:ascii="方正仿宋_GBK" w:hAnsi="方正仿宋_GBK" w:eastAsia="方正仿宋_GBK" w:cs="方正仿宋_GBK"/>
          <w:b/>
          <w:sz w:val="32"/>
          <w:szCs w:val="32"/>
          <w:shd w:val="clear" w:color="auto" w:fill="FFFF00"/>
        </w:rPr>
      </w:pPr>
      <w:r>
        <w:rPr>
          <w:rFonts w:hint="eastAsia" w:ascii="方正仿宋_GBK" w:eastAsia="方正仿宋_GBK"/>
          <w:sz w:val="32"/>
          <w:szCs w:val="32"/>
        </w:rPr>
        <w:t xml:space="preserve">陈老师  </w:t>
      </w:r>
      <w:r>
        <w:rPr>
          <w:rFonts w:ascii="方正仿宋_GBK" w:eastAsia="方正仿宋_GBK"/>
          <w:sz w:val="32"/>
          <w:szCs w:val="32"/>
        </w:rPr>
        <w:t>023-74530433</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垫江县天台小学校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2,170.24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1,814.27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118.62</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367.92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52.23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62.52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3,983.74</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3,991.82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7.79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0.29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3,991.82</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3,991.82</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垫江县天台小学校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3,983.74</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3,865.12</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118.62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1,806.19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1,687.57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1,788.33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1,669.71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118.62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1,788.33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1,669.71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118.62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15.41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15.41</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15.41</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15.41</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129.87</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129.87</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173.82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173.82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52.23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52.23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垫江县天台小学校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3,991.82</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1,522.59</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2,469.23</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1,814.27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1,040.34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773.93</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1,796.41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1,037.89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758.52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1,796.41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1,037.89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758.52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2.44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15.41</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15.41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15.41</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15.41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367.50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367.50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0.42</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129.87</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129.87</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64.24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173.82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173.40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0.42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52.23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52.23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1,694.88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62.52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垫江县天台小学校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2,170.24</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1,694.88</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1,687.86</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367.92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367.92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52.23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1,694.88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1,694.88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62.52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62.52</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3,865.12</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3,865.41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2,170.53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1,694.88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0.29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0.29</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3,865.41</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3,865.41</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2,170.53</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1,694.88</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垫江县天台小学校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2,170.53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1,396.63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773.90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1,687.86</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914.38</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773.48</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1,670.00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911.94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758.07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1,670.00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911.94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758.07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2.44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2.44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15.41</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15.41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15.41</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15.41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367.50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367.92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367.50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0.42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129.87</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129.87</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64.24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173.82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173.40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0.42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52.23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52.23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52.23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62.52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62.52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62.52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垫江县天台小学校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1,197.93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25.31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297.96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39.10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541.75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129.87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64.24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52.23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62.52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8.64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173.40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2.44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148.77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6.45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15.83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16.41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1,371.33</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25.31</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垫江县天台小学校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1,694.88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1,694.88</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1,694.88</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1,694.88</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1,694.88</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垫江县天台小学校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垫江县天台小学校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3.74</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2.00</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B2098"/>
    <w:rsid w:val="001D3BB7"/>
    <w:rsid w:val="002B254B"/>
    <w:rsid w:val="0034050A"/>
    <w:rsid w:val="003E72B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D6D1D"/>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EE1F36"/>
    <w:rsid w:val="00F73F90"/>
    <w:rsid w:val="00FB4B3B"/>
    <w:rsid w:val="01474EBF"/>
    <w:rsid w:val="01F3521E"/>
    <w:rsid w:val="032629A4"/>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00013"/>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B807E9"/>
    <w:rsid w:val="48225EF7"/>
    <w:rsid w:val="488F422B"/>
    <w:rsid w:val="48E36915"/>
    <w:rsid w:val="48EB6572"/>
    <w:rsid w:val="495C4A24"/>
    <w:rsid w:val="497135DF"/>
    <w:rsid w:val="49A67A20"/>
    <w:rsid w:val="4A263DF2"/>
    <w:rsid w:val="4A2F278B"/>
    <w:rsid w:val="4A6F6675"/>
    <w:rsid w:val="4B135857"/>
    <w:rsid w:val="4B3E3DAD"/>
    <w:rsid w:val="4B7951CB"/>
    <w:rsid w:val="4B7C315C"/>
    <w:rsid w:val="4D1F53CA"/>
    <w:rsid w:val="4DAC4ACA"/>
    <w:rsid w:val="4DBE01D2"/>
    <w:rsid w:val="4E602601"/>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25</Pages>
  <Words>8566</Words>
  <Characters>11636</Characters>
  <Lines>104</Lines>
  <Paragraphs>29</Paragraphs>
  <TotalTime>0</TotalTime>
  <ScaleCrop>false</ScaleCrop>
  <LinksUpToDate>false</LinksUpToDate>
  <CharactersWithSpaces>12751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2025-09-22T08:47:42Z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