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垫江县桂阳中心幼儿园</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3" w:firstLineChars="200"/>
        <w:rPr>
          <w:rStyle w:val="10"/>
          <w:rFonts w:hint="default" w:ascii="方正黑体_GBK" w:eastAsia="方正黑体_GBK"/>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spacing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hint="default" w:ascii="Times New Roman" w:hAnsi="Times New Roman" w:eastAsia="方正仿宋_GBK"/>
          <w:sz w:val="32"/>
        </w:rPr>
      </w:pPr>
      <w:r>
        <w:rPr>
          <w:rFonts w:ascii="Times New Roman" w:hAnsi="Times New Roman" w:eastAsia="方正仿宋_GBK"/>
          <w:sz w:val="32"/>
        </w:rPr>
        <w:t>本单位内设机构包含：教务处、后勤处。经费形式：财政全额拨款。领导职数：单位领导职数4名，其中：园长1名、副园长1名；内设机构领导职数2名。</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2024年度收入总计624.55万元，支出总计</w:t>
      </w:r>
      <w:r>
        <w:rPr>
          <w:rFonts w:ascii="方正仿宋_GBK" w:hAnsi="方正仿宋_GBK" w:eastAsia="方正仿宋_GBK" w:cs="方正仿宋_GBK"/>
          <w:sz w:val="32"/>
          <w:szCs w:val="32"/>
        </w:rPr>
        <w:t>624.55</w:t>
      </w:r>
      <w:r>
        <w:rPr>
          <w:rFonts w:ascii="方正仿宋_GBK" w:hAnsi="方正仿宋_GBK" w:eastAsia="方正仿宋_GBK" w:cs="方正仿宋_GBK"/>
          <w:sz w:val="32"/>
          <w:szCs w:val="32"/>
          <w:shd w:val="clear" w:color="auto" w:fill="FFFFFF"/>
        </w:rPr>
        <w:t>万元。收、支与2023年度相比，减少111.81万元，下降15.18%，主要原因是西湖分园装修工程结束后财政投入减少。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2024年度收入合计624.55万元，与2023年度相比，减少54.44万元，下降8.02%，主要原因是西湖分园装修工程结束后财政投入减少。其中：财政拨款收入</w:t>
      </w:r>
      <w:r>
        <w:rPr>
          <w:rFonts w:ascii="方正仿宋_GBK" w:hAnsi="方正仿宋_GBK" w:eastAsia="方正仿宋_GBK" w:cs="方正仿宋_GBK"/>
          <w:sz w:val="32"/>
          <w:szCs w:val="32"/>
        </w:rPr>
        <w:t>336.77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53.92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261.11</w:t>
      </w:r>
      <w:r>
        <w:rPr>
          <w:rFonts w:ascii="方正仿宋_GBK" w:hAnsi="方正仿宋_GBK" w:eastAsia="方正仿宋_GBK" w:cs="方正仿宋_GBK"/>
          <w:sz w:val="32"/>
          <w:szCs w:val="32"/>
          <w:shd w:val="clear" w:color="auto" w:fill="FFFFFF"/>
        </w:rPr>
        <w:t>万元，占41.81%；经营收入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26.66</w:t>
      </w:r>
      <w:r>
        <w:rPr>
          <w:rFonts w:ascii="方正仿宋_GBK" w:hAnsi="方正仿宋_GBK" w:eastAsia="方正仿宋_GBK" w:cs="方正仿宋_GBK"/>
          <w:sz w:val="32"/>
          <w:szCs w:val="32"/>
          <w:shd w:val="clear" w:color="auto" w:fill="FFFFFF"/>
        </w:rPr>
        <w:t>万元，占4.27%。此外，使用非财政拨款结余和专用结余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618.65</w:t>
      </w:r>
      <w:r>
        <w:rPr>
          <w:rFonts w:ascii="方正仿宋_GBK" w:hAnsi="方正仿宋_GBK" w:eastAsia="方正仿宋_GBK" w:cs="方正仿宋_GBK"/>
          <w:sz w:val="32"/>
          <w:szCs w:val="32"/>
          <w:shd w:val="clear" w:color="auto" w:fill="FFFFFF"/>
        </w:rPr>
        <w:t>万元，与2023年度相比，减少111.15万元，下降15.23%，主要原因是西湖分园装修工程结束后财政投入减少。其中：基本支出</w:t>
      </w:r>
      <w:r>
        <w:rPr>
          <w:rFonts w:ascii="方正仿宋_GBK" w:hAnsi="方正仿宋_GBK" w:eastAsia="方正仿宋_GBK" w:cs="方正仿宋_GBK"/>
          <w:sz w:val="32"/>
          <w:szCs w:val="32"/>
        </w:rPr>
        <w:t>527.02</w:t>
      </w:r>
      <w:r>
        <w:rPr>
          <w:rFonts w:ascii="方正仿宋_GBK" w:hAnsi="方正仿宋_GBK" w:eastAsia="方正仿宋_GBK" w:cs="方正仿宋_GBK"/>
          <w:sz w:val="32"/>
          <w:szCs w:val="32"/>
          <w:shd w:val="clear" w:color="auto" w:fill="FFFFFF"/>
        </w:rPr>
        <w:t>万元，占85.19%；项目支出</w:t>
      </w:r>
      <w:r>
        <w:rPr>
          <w:rFonts w:ascii="方正仿宋_GBK" w:hAnsi="方正仿宋_GBK" w:eastAsia="方正仿宋_GBK" w:cs="方正仿宋_GBK"/>
          <w:sz w:val="32"/>
          <w:szCs w:val="32"/>
        </w:rPr>
        <w:t>91.62</w:t>
      </w:r>
      <w:r>
        <w:rPr>
          <w:rFonts w:ascii="方正仿宋_GBK" w:hAnsi="方正仿宋_GBK" w:eastAsia="方正仿宋_GBK" w:cs="方正仿宋_GBK"/>
          <w:sz w:val="32"/>
          <w:szCs w:val="32"/>
          <w:shd w:val="clear" w:color="auto" w:fill="FFFFFF"/>
        </w:rPr>
        <w:t>万元，占14.81%；经营支出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5.90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2024年度财政拨款收、支总计336.77万元。与2023年相比，财政拨款收、支总计各减少149.55万元，下降30.75%。主要原因是西湖分园装修工程结束后财政投入减少。</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336.77</w:t>
      </w:r>
      <w:r>
        <w:rPr>
          <w:rFonts w:ascii="方正仿宋_GBK" w:hAnsi="方正仿宋_GBK" w:eastAsia="方正仿宋_GBK" w:cs="方正仿宋_GBK"/>
          <w:sz w:val="32"/>
          <w:szCs w:val="32"/>
          <w:shd w:val="clear" w:color="auto" w:fill="FFFFFF"/>
        </w:rPr>
        <w:t>万元，与2023年度相比，减少87.06万元，下降20.54%。主要原因是西湖分园装修工程结束后财政投入减少。较年初预算数增加35.12万元，增长11.64%。主要原因是新增教师2人且将超额绩效追加纳入养老保险和职业年金缴费基数中。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336.77</w:t>
      </w:r>
      <w:r>
        <w:rPr>
          <w:rFonts w:ascii="方正仿宋_GBK" w:hAnsi="方正仿宋_GBK" w:eastAsia="方正仿宋_GBK" w:cs="方正仿宋_GBK"/>
          <w:sz w:val="32"/>
          <w:szCs w:val="32"/>
          <w:shd w:val="clear" w:color="auto" w:fill="FFFFFF"/>
        </w:rPr>
        <w:t>万元，与2023年度相比，减少135.56万元，下降28.70%。主要原因是西湖分园装修工程结束后财政投入减少。较年初预算数增加35.12万元，增长11.64%。主要原因是新增教师2人且将超额绩效追加纳入养老保险和职业年金缴费基数中。</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275.46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81.79</w:t>
      </w:r>
      <w:r>
        <w:rPr>
          <w:rFonts w:ascii="方正仿宋_GBK" w:hAnsi="方正仿宋_GBK" w:eastAsia="方正仿宋_GBK" w:cs="方正仿宋_GBK"/>
          <w:sz w:val="32"/>
          <w:szCs w:val="32"/>
          <w:shd w:val="clear" w:color="auto" w:fill="FFFFFF"/>
        </w:rPr>
        <w:t>%，较年初预算数增加20.18万元，增长7.91%，主要原因是本年预算执行中公招2名教师增加工资、绩效、津补贴等人员经费。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11.27</w:t>
      </w:r>
      <w:r>
        <w:rPr>
          <w:rFonts w:ascii="方正仿宋_GBK" w:hAnsi="方正仿宋_GBK" w:eastAsia="方正仿宋_GBK" w:cs="方正仿宋_GBK"/>
          <w:sz w:val="32"/>
          <w:szCs w:val="32"/>
          <w:shd w:val="clear" w:color="auto" w:fill="FFFFFF"/>
        </w:rPr>
        <w:t>%，较年初预算数增加13.75万元，增长56.84%，主要原因是本年预算执行中公招2名教师增加了养老保险和职业年金的缴费基数。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%，较年初预算数增加0.55万元，增长5.46%，主要原因是本年预算执行中公招2名教师增加了医疗保险缴费基数。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住房保障支出12.75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3.78</w:t>
      </w:r>
      <w:r>
        <w:rPr>
          <w:rFonts w:ascii="方正仿宋_GBK" w:hAnsi="方正仿宋_GBK" w:eastAsia="方正仿宋_GBK" w:cs="方正仿宋_GBK"/>
          <w:sz w:val="32"/>
          <w:szCs w:val="32"/>
          <w:shd w:val="clear" w:color="auto" w:fill="FFFFFF"/>
        </w:rPr>
        <w:t>%，较年初预算数增加0.65万元，增长5.37%，主要原因是本年预算执行中公招2名教师增加了住房公积金缴费基数。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黑体_GBK" w:hAnsi="楷体" w:eastAsia="方正黑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246.94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243.67</w:t>
      </w:r>
      <w:r>
        <w:rPr>
          <w:rFonts w:ascii="方正仿宋_GBK" w:hAnsi="方正仿宋_GBK" w:eastAsia="方正仿宋_GBK" w:cs="方正仿宋_GBK"/>
          <w:sz w:val="32"/>
          <w:szCs w:val="32"/>
          <w:shd w:val="clear" w:color="auto" w:fill="FFFFFF"/>
        </w:rPr>
        <w:t>万元，与2023年度相比，增加34.89万元，增长16.71%，主要原因是</w:t>
      </w:r>
      <w:r>
        <w:rPr>
          <w:rFonts w:hint="eastAsia" w:ascii="方正仿宋_GBK" w:hAnsi="方正仿宋_GBK" w:eastAsia="方正仿宋_GBK" w:cs="方正仿宋_GBK"/>
          <w:sz w:val="32"/>
          <w:szCs w:val="32"/>
          <w:shd w:val="clear" w:color="auto" w:fill="FFFFFF"/>
        </w:rPr>
        <w:t>新</w:t>
      </w:r>
      <w:r>
        <w:rPr>
          <w:rFonts w:ascii="方正仿宋_GBK" w:hAnsi="方正仿宋_GBK" w:eastAsia="方正仿宋_GBK" w:cs="方正仿宋_GBK"/>
          <w:sz w:val="32"/>
          <w:szCs w:val="32"/>
          <w:shd w:val="clear" w:color="auto" w:fill="FFFFFF"/>
        </w:rPr>
        <w:t>增教师</w:t>
      </w:r>
      <w:r>
        <w:rPr>
          <w:rFonts w:hint="eastAsia" w:ascii="方正仿宋_GBK" w:hAnsi="方正仿宋_GBK" w:eastAsia="方正仿宋_GBK" w:cs="方正仿宋_GBK"/>
          <w:sz w:val="32"/>
          <w:szCs w:val="32"/>
          <w:shd w:val="clear" w:color="auto" w:fill="FFFFFF"/>
        </w:rPr>
        <w:t>2名所致</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万元，与2023年度相比，增加0.05万元，增长1.56%，主要原因是工会经费、培训费、福利费的预算基数减少所致。公用经费用途主要包括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仿宋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1.11</w:t>
      </w:r>
      <w:r>
        <w:rPr>
          <w:rFonts w:ascii="方正仿宋_GBK" w:hAnsi="方正仿宋_GBK" w:eastAsia="方正仿宋_GBK" w:cs="方正仿宋_GBK"/>
          <w:sz w:val="32"/>
          <w:szCs w:val="32"/>
          <w:shd w:val="clear" w:color="auto" w:fill="FFFFFF"/>
        </w:rPr>
        <w:t>万元，与2023年度相比，减少0.41万元，下降26.97%，主要原因是学校压缩公用经费支出，减少了师资队伍的培训</w:t>
      </w:r>
      <w:r>
        <w:rPr>
          <w:rFonts w:hint="eastAsia"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根据预算绩效管理要求，我单位对4个二级项目开展了绩效自评，涉及财政拨款项目支出资金89.84万元。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43525" cy="4938395"/>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43525" cy="4938395"/>
                    </a:xfrm>
                    <a:prstGeom prst="rect">
                      <a:avLst/>
                    </a:prstGeom>
                    <a:noFill/>
                    <a:ln>
                      <a:noFill/>
                    </a:ln>
                  </pic:spPr>
                </pic:pic>
              </a:graphicData>
            </a:graphic>
          </wp:inline>
        </w:drawing>
      </w:r>
      <w:r>
        <w:drawing>
          <wp:inline distT="0" distB="0" distL="114300" distR="114300">
            <wp:extent cx="5387340" cy="49460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8734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梁老师   023- 81869205</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垫江县桂阳中心幼儿园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336.77</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261.11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557.33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26.66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10.63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12.75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624.55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618.65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5.90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624.55</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624.55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垫江县桂阳中心幼儿园</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624.55</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336.77</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261.11</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261.11</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26.66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563.23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275.46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261.11</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261.11</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562.77</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261.11</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261.11</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562.77</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275.00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261.11</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261.11</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12.65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12.65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12.75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12.75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垫江县桂阳中心幼儿园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618.65</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527.02</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91.62</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557.33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465.71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91.62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556.88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465.25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91.62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556.88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465.25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91.62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12.65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12.65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12.75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12.75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垫江县桂阳中心幼儿园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275.46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275.46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10.63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10.63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12.75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12.75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336.77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垫江县桂阳中心幼儿园</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336.77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246.94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89.84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275.46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185.62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89.84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185.16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89.84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275.00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185.16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89.84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25.29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25.29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12.65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12.65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10.63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10.63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12.75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12.75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12.75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垫江县桂阳中心幼儿园</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243.67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57.81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119.62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25.29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12.65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10.63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0.30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12.75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243.67</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3.26</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垫江县桂阳中心幼儿园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垫江县桂阳中心幼儿园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垫江县桂阳中心幼儿园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52AB8"/>
    <w:rsid w:val="001D3BB7"/>
    <w:rsid w:val="002B254B"/>
    <w:rsid w:val="0034050A"/>
    <w:rsid w:val="0044504F"/>
    <w:rsid w:val="00466C9B"/>
    <w:rsid w:val="00486CFC"/>
    <w:rsid w:val="00491DDD"/>
    <w:rsid w:val="00550ABE"/>
    <w:rsid w:val="0062271B"/>
    <w:rsid w:val="00623A85"/>
    <w:rsid w:val="007171DD"/>
    <w:rsid w:val="00770383"/>
    <w:rsid w:val="007819D4"/>
    <w:rsid w:val="007B419D"/>
    <w:rsid w:val="007B7C4B"/>
    <w:rsid w:val="007D3D39"/>
    <w:rsid w:val="00811238"/>
    <w:rsid w:val="00984C6A"/>
    <w:rsid w:val="00994AF7"/>
    <w:rsid w:val="009B67B8"/>
    <w:rsid w:val="009C14C9"/>
    <w:rsid w:val="009D2B67"/>
    <w:rsid w:val="009E1452"/>
    <w:rsid w:val="00A566F9"/>
    <w:rsid w:val="00AF2751"/>
    <w:rsid w:val="00B03CCD"/>
    <w:rsid w:val="00BE2B89"/>
    <w:rsid w:val="00BF0D89"/>
    <w:rsid w:val="00C0656F"/>
    <w:rsid w:val="00C10E9E"/>
    <w:rsid w:val="00C20C3E"/>
    <w:rsid w:val="00C30A94"/>
    <w:rsid w:val="00C5163E"/>
    <w:rsid w:val="00C57389"/>
    <w:rsid w:val="00CF2ACF"/>
    <w:rsid w:val="00D03AAF"/>
    <w:rsid w:val="00DD0539"/>
    <w:rsid w:val="00DF3A0F"/>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9616D1"/>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06009B"/>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8820E3"/>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DFD015B"/>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9A21C8"/>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8260</Words>
  <Characters>10514</Characters>
  <Lines>94</Lines>
  <Paragraphs>26</Paragraphs>
  <TotalTime>31</TotalTime>
  <ScaleCrop>false</ScaleCrop>
  <LinksUpToDate>false</LinksUpToDate>
  <CharactersWithSpaces>11519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2025-09-22T09:19:23Z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