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spacing w:before="0" w:beforeAutospacing="0" w:after="0" w:afterAutospacing="0" w:line="596" w:lineRule="exact"/>
        <w:jc w:val="center"/>
        <w:rPr>
          <w:rFonts w:hint="default"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垫江县基础教育质量监测中心</w:t>
      </w:r>
    </w:p>
    <w:p>
      <w:pPr>
        <w:pStyle w:val="6"/>
        <w:spacing w:before="0" w:beforeAutospacing="0" w:after="0" w:afterAutospacing="0" w:line="596" w:lineRule="exact"/>
        <w:jc w:val="center"/>
        <w:rPr>
          <w:rFonts w:hint="default" w:ascii="方正小标宋_GBK" w:hAnsi="方正小标宋_GBK" w:eastAsia="方正小标宋_GBK" w:cs="方正小标宋_GBK"/>
          <w:sz w:val="44"/>
          <w:szCs w:val="44"/>
          <w:shd w:val="clear" w:color="auto" w:fill="FFFFFF"/>
        </w:rPr>
      </w:pPr>
      <w:r>
        <w:rPr>
          <w:rFonts w:hint="default" w:ascii="Times New Roman" w:hAnsi="Times New Roman" w:eastAsia="方正小标宋_GBK"/>
          <w:sz w:val="44"/>
          <w:szCs w:val="44"/>
          <w:shd w:val="clear" w:color="auto" w:fill="FFFFFF"/>
        </w:rPr>
        <w:t>2024</w:t>
      </w:r>
      <w:r>
        <w:rPr>
          <w:rFonts w:ascii="方正小标宋_GBK" w:hAnsi="方正小标宋_GBK" w:eastAsia="方正小标宋_GBK" w:cs="方正小标宋_GBK"/>
          <w:sz w:val="44"/>
          <w:szCs w:val="44"/>
          <w:shd w:val="clear" w:color="auto" w:fill="FFFFFF"/>
        </w:rPr>
        <w:t>年度决算公开说明</w:t>
      </w:r>
    </w:p>
    <w:p>
      <w:pPr>
        <w:pStyle w:val="6"/>
        <w:shd w:val="clear" w:color="auto" w:fill="FFFFFF"/>
        <w:spacing w:before="0" w:beforeAutospacing="0" w:after="0" w:afterAutospacing="0" w:line="596" w:lineRule="exact"/>
        <w:ind w:firstLine="643" w:firstLineChars="200"/>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一、单位基本情况</w:t>
      </w:r>
    </w:p>
    <w:p>
      <w:pPr>
        <w:pStyle w:val="6"/>
        <w:shd w:val="clear" w:color="auto" w:fill="FFFFFF"/>
        <w:ind w:firstLine="420"/>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（一）职能职责</w:t>
      </w:r>
    </w:p>
    <w:p>
      <w:pPr>
        <w:spacing w:line="570" w:lineRule="exact"/>
        <w:ind w:firstLine="640" w:firstLineChars="200"/>
        <w:jc w:val="both"/>
        <w:rPr>
          <w:rFonts w:hint="default" w:ascii="Times New Roman" w:hAnsi="Times New Roman" w:eastAsia="方正仿宋_GBK"/>
          <w:sz w:val="32"/>
          <w:szCs w:val="32"/>
        </w:rPr>
      </w:pPr>
      <w:r>
        <w:rPr>
          <w:rFonts w:ascii="Times New Roman" w:hAnsi="Times New Roman" w:eastAsia="方正仿宋_GBK"/>
          <w:sz w:val="32"/>
          <w:szCs w:val="32"/>
        </w:rPr>
        <w:t>开展教育评估与质量监测，促进教育事业发展。开发建设教育评估指标体系和信息资源</w:t>
      </w:r>
      <w:r>
        <w:rPr>
          <w:rFonts w:hint="eastAsia" w:ascii="Times New Roman" w:hAnsi="Times New Roman" w:eastAsia="方正仿宋_GBK"/>
          <w:sz w:val="32"/>
          <w:szCs w:val="32"/>
          <w:lang w:eastAsia="zh-CN"/>
        </w:rPr>
        <w:t>，</w:t>
      </w:r>
      <w:r>
        <w:rPr>
          <w:rFonts w:ascii="Times New Roman" w:hAnsi="Times New Roman" w:eastAsia="方正仿宋_GBK"/>
          <w:sz w:val="32"/>
          <w:szCs w:val="32"/>
        </w:rPr>
        <w:t>拟定基础教育质量监测标准，组织实施监测工作</w:t>
      </w:r>
      <w:r>
        <w:rPr>
          <w:rFonts w:hint="eastAsia" w:ascii="Times New Roman" w:hAnsi="Times New Roman" w:eastAsia="方正仿宋_GBK"/>
          <w:sz w:val="32"/>
          <w:szCs w:val="32"/>
          <w:lang w:eastAsia="zh-CN"/>
        </w:rPr>
        <w:t>，</w:t>
      </w:r>
      <w:r>
        <w:rPr>
          <w:rFonts w:ascii="Times New Roman" w:hAnsi="Times New Roman" w:eastAsia="方正仿宋_GBK"/>
          <w:sz w:val="32"/>
          <w:szCs w:val="32"/>
        </w:rPr>
        <w:t>为改进教育教学工作及教育决策提供科学依据。</w:t>
      </w:r>
    </w:p>
    <w:p>
      <w:pPr>
        <w:pStyle w:val="6"/>
        <w:shd w:val="clear" w:color="auto" w:fill="FFFFFF"/>
        <w:ind w:firstLine="420"/>
        <w:rPr>
          <w:rFonts w:hint="default" w:ascii="楷体" w:hAnsi="楷体" w:eastAsia="楷体" w:cs="楷体"/>
          <w:sz w:val="32"/>
          <w:szCs w:val="32"/>
        </w:rPr>
      </w:pPr>
      <w:r>
        <w:rPr>
          <w:rStyle w:val="10"/>
          <w:rFonts w:ascii="楷体" w:hAnsi="楷体" w:eastAsia="楷体" w:cs="楷体"/>
          <w:sz w:val="32"/>
          <w:szCs w:val="32"/>
          <w:shd w:val="clear" w:color="auto" w:fill="FFFFFF"/>
        </w:rPr>
        <w:t>（二）机构设置</w:t>
      </w:r>
    </w:p>
    <w:p>
      <w:pPr>
        <w:spacing w:line="570" w:lineRule="exact"/>
        <w:ind w:firstLine="640" w:firstLineChars="200"/>
        <w:jc w:val="both"/>
        <w:rPr>
          <w:rFonts w:hint="default" w:ascii="Times New Roman" w:hAnsi="Times New Roman" w:eastAsia="方正仿宋_GBK"/>
          <w:sz w:val="32"/>
          <w:szCs w:val="32"/>
        </w:rPr>
      </w:pPr>
      <w:r>
        <w:rPr>
          <w:rFonts w:ascii="Times New Roman" w:hAnsi="Times New Roman" w:eastAsia="方正仿宋_GBK"/>
          <w:sz w:val="32"/>
          <w:szCs w:val="32"/>
        </w:rPr>
        <w:t>本单位无内设机构。</w:t>
      </w:r>
    </w:p>
    <w:p>
      <w:pPr>
        <w:pStyle w:val="6"/>
        <w:shd w:val="clear" w:color="auto" w:fill="FFFFFF"/>
        <w:spacing w:before="0" w:beforeAutospacing="0" w:after="0" w:afterAutospacing="0" w:line="596" w:lineRule="exact"/>
        <w:ind w:firstLine="643" w:firstLineChars="200"/>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二、单位决算收支情况说明</w:t>
      </w:r>
    </w:p>
    <w:p>
      <w:pPr>
        <w:pStyle w:val="6"/>
        <w:shd w:val="clear" w:color="auto" w:fill="FFFFFF"/>
        <w:ind w:firstLine="321" w:firstLineChars="100"/>
        <w:rPr>
          <w:rFonts w:hint="default" w:ascii="楷体" w:hAnsi="楷体" w:eastAsia="楷体" w:cs="楷体"/>
          <w:b/>
          <w:bCs/>
          <w:sz w:val="32"/>
          <w:szCs w:val="32"/>
          <w:shd w:val="clear" w:color="auto" w:fill="FFFFFF"/>
        </w:rPr>
      </w:pPr>
      <w:r>
        <w:rPr>
          <w:rFonts w:ascii="楷体" w:hAnsi="楷体" w:eastAsia="楷体" w:cs="楷体"/>
          <w:b/>
          <w:bCs/>
          <w:sz w:val="32"/>
          <w:szCs w:val="32"/>
          <w:shd w:val="clear" w:color="auto" w:fill="FFFFFF"/>
        </w:rPr>
        <w:t>（一）收入支出决算总体情况说明。</w:t>
      </w:r>
    </w:p>
    <w:p>
      <w:pPr>
        <w:pStyle w:val="6"/>
        <w:shd w:val="clear" w:color="auto" w:fill="FFFFFF"/>
        <w:ind w:firstLine="640" w:firstLineChars="200"/>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1.总体情况。</w:t>
      </w:r>
      <w:r>
        <w:rPr>
          <w:rFonts w:ascii="方正仿宋_GBK" w:hAnsi="方正仿宋_GBK" w:eastAsia="方正仿宋_GBK" w:cs="方正仿宋_GBK"/>
          <w:sz w:val="32"/>
          <w:szCs w:val="32"/>
          <w:shd w:val="clear" w:color="auto" w:fill="FFFFFF"/>
        </w:rPr>
        <w:t>2024年度收入总计266.94万元，支出总计</w:t>
      </w:r>
      <w:r>
        <w:rPr>
          <w:rFonts w:ascii="方正仿宋_GBK" w:hAnsi="方正仿宋_GBK" w:eastAsia="方正仿宋_GBK" w:cs="方正仿宋_GBK"/>
          <w:sz w:val="32"/>
          <w:szCs w:val="32"/>
        </w:rPr>
        <w:t>266.94</w:t>
      </w:r>
      <w:r>
        <w:rPr>
          <w:rFonts w:ascii="方正仿宋_GBK" w:hAnsi="方正仿宋_GBK" w:eastAsia="方正仿宋_GBK" w:cs="方正仿宋_GBK"/>
          <w:sz w:val="32"/>
          <w:szCs w:val="32"/>
          <w:shd w:val="clear" w:color="auto" w:fill="FFFFFF"/>
        </w:rPr>
        <w:t>万元。收、支与2024年度相比，增加8.38万元，增长3.2%，主要原因是</w:t>
      </w:r>
      <w:r>
        <w:rPr>
          <w:rFonts w:ascii="方正仿宋_GBK" w:eastAsia="方正仿宋_GBK"/>
          <w:color w:val="000000" w:themeColor="text1"/>
          <w:sz w:val="32"/>
          <w:szCs w:val="32"/>
        </w:rPr>
        <w:t>职工正常晋升、晋岗晋级、绩效清算补发等人员经费类基本支出增加。</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2.收入情况。</w:t>
      </w:r>
      <w:r>
        <w:rPr>
          <w:rFonts w:ascii="方正仿宋_GBK" w:hAnsi="方正仿宋_GBK" w:eastAsia="方正仿宋_GBK" w:cs="方正仿宋_GBK"/>
          <w:sz w:val="32"/>
          <w:szCs w:val="32"/>
          <w:shd w:val="clear" w:color="auto" w:fill="FFFFFF"/>
        </w:rPr>
        <w:t>2024年度收入合计266.94万元，与2024年度相比，增加17.54万元，增长7.0%，主要原因是</w:t>
      </w:r>
      <w:r>
        <w:rPr>
          <w:rFonts w:ascii="方正仿宋_GBK" w:eastAsia="方正仿宋_GBK"/>
          <w:color w:val="000000" w:themeColor="text1"/>
          <w:sz w:val="32"/>
          <w:szCs w:val="32"/>
        </w:rPr>
        <w:t>职工正常晋升、晋岗晋级、绩效清算补发等人员经费类基本支出增加。</w:t>
      </w:r>
      <w:r>
        <w:rPr>
          <w:rFonts w:ascii="方正仿宋_GBK" w:hAnsi="方正仿宋_GBK" w:eastAsia="方正仿宋_GBK" w:cs="方正仿宋_GBK"/>
          <w:sz w:val="32"/>
          <w:szCs w:val="32"/>
          <w:shd w:val="clear" w:color="auto" w:fill="FFFFFF"/>
        </w:rPr>
        <w:t>其中：财政拨款收入</w:t>
      </w:r>
      <w:r>
        <w:rPr>
          <w:rFonts w:ascii="方正仿宋_GBK" w:hAnsi="方正仿宋_GBK" w:eastAsia="方正仿宋_GBK" w:cs="方正仿宋_GBK"/>
          <w:sz w:val="32"/>
          <w:szCs w:val="32"/>
        </w:rPr>
        <w:t>145.63</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54.6%</w:t>
      </w:r>
      <w:r>
        <w:rPr>
          <w:rFonts w:ascii="方正仿宋_GBK" w:hAnsi="方正仿宋_GBK" w:eastAsia="方正仿宋_GBK" w:cs="方正仿宋_GBK"/>
          <w:sz w:val="32"/>
          <w:szCs w:val="32"/>
          <w:shd w:val="clear" w:color="auto" w:fill="FFFFFF"/>
        </w:rPr>
        <w:t>；事业收入</w:t>
      </w:r>
      <w:r>
        <w:rPr>
          <w:rFonts w:ascii="方正仿宋_GBK" w:hAnsi="方正仿宋_GBK" w:eastAsia="方正仿宋_GBK" w:cs="方正仿宋_GBK"/>
          <w:sz w:val="32"/>
          <w:szCs w:val="32"/>
        </w:rPr>
        <w:t>121.31</w:t>
      </w:r>
      <w:r>
        <w:rPr>
          <w:rFonts w:ascii="方正仿宋_GBK" w:hAnsi="方正仿宋_GBK" w:eastAsia="方正仿宋_GBK" w:cs="方正仿宋_GBK"/>
          <w:sz w:val="32"/>
          <w:szCs w:val="32"/>
          <w:shd w:val="clear" w:color="auto" w:fill="FFFFFF"/>
        </w:rPr>
        <w:t>万元，占45.5%；经营收入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万元，占0.0%；其他收入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万元，占0.0%。此外，使用非财政拨款结余和专用结余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万元，年初结转和结余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3.支出情况。</w:t>
      </w:r>
      <w:r>
        <w:rPr>
          <w:rFonts w:ascii="方正仿宋_GBK" w:hAnsi="方正仿宋_GBK" w:eastAsia="方正仿宋_GBK" w:cs="方正仿宋_GBK"/>
          <w:sz w:val="32"/>
          <w:szCs w:val="32"/>
          <w:shd w:val="clear" w:color="auto" w:fill="FFFFFF"/>
        </w:rPr>
        <w:t>2024年度支出合计</w:t>
      </w:r>
      <w:r>
        <w:rPr>
          <w:rFonts w:ascii="方正仿宋_GBK" w:hAnsi="方正仿宋_GBK" w:eastAsia="方正仿宋_GBK" w:cs="方正仿宋_GBK"/>
          <w:sz w:val="32"/>
          <w:szCs w:val="32"/>
        </w:rPr>
        <w:t>264.79</w:t>
      </w:r>
      <w:r>
        <w:rPr>
          <w:rFonts w:ascii="方正仿宋_GBK" w:hAnsi="方正仿宋_GBK" w:eastAsia="方正仿宋_GBK" w:cs="方正仿宋_GBK"/>
          <w:sz w:val="32"/>
          <w:szCs w:val="32"/>
          <w:shd w:val="clear" w:color="auto" w:fill="FFFFFF"/>
        </w:rPr>
        <w:t>万元，与2024年度相比，增加6.23万元，增长2.4%，主要原因是</w:t>
      </w:r>
      <w:r>
        <w:rPr>
          <w:rFonts w:ascii="方正仿宋_GBK" w:eastAsia="方正仿宋_GBK"/>
          <w:color w:val="000000" w:themeColor="text1"/>
          <w:sz w:val="32"/>
          <w:szCs w:val="32"/>
        </w:rPr>
        <w:t>职工正常晋升、晋岗晋级、绩效清算补发等人员经费类基本支出增加。</w:t>
      </w:r>
      <w:r>
        <w:rPr>
          <w:rFonts w:ascii="方正仿宋_GBK" w:hAnsi="方正仿宋_GBK" w:eastAsia="方正仿宋_GBK" w:cs="方正仿宋_GBK"/>
          <w:sz w:val="32"/>
          <w:szCs w:val="32"/>
          <w:shd w:val="clear" w:color="auto" w:fill="FFFFFF"/>
        </w:rPr>
        <w:t>其中：基本支出</w:t>
      </w:r>
      <w:r>
        <w:rPr>
          <w:rFonts w:ascii="方正仿宋_GBK" w:hAnsi="方正仿宋_GBK" w:eastAsia="方正仿宋_GBK" w:cs="方正仿宋_GBK"/>
          <w:sz w:val="32"/>
          <w:szCs w:val="32"/>
        </w:rPr>
        <w:t>229.19</w:t>
      </w:r>
      <w:r>
        <w:rPr>
          <w:rFonts w:ascii="方正仿宋_GBK" w:hAnsi="方正仿宋_GBK" w:eastAsia="方正仿宋_GBK" w:cs="方正仿宋_GBK"/>
          <w:sz w:val="32"/>
          <w:szCs w:val="32"/>
          <w:shd w:val="clear" w:color="auto" w:fill="FFFFFF"/>
        </w:rPr>
        <w:t>万元，占86.6%；项目支出</w:t>
      </w:r>
      <w:r>
        <w:rPr>
          <w:rFonts w:ascii="方正仿宋_GBK" w:hAnsi="方正仿宋_GBK" w:eastAsia="方正仿宋_GBK" w:cs="方正仿宋_GBK"/>
          <w:sz w:val="32"/>
          <w:szCs w:val="32"/>
        </w:rPr>
        <w:t>35.60</w:t>
      </w:r>
      <w:r>
        <w:rPr>
          <w:rFonts w:ascii="方正仿宋_GBK" w:hAnsi="方正仿宋_GBK" w:eastAsia="方正仿宋_GBK" w:cs="方正仿宋_GBK"/>
          <w:sz w:val="32"/>
          <w:szCs w:val="32"/>
          <w:shd w:val="clear" w:color="auto" w:fill="FFFFFF"/>
        </w:rPr>
        <w:t>万元，占13.4%；经营支出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万元，占0.0%。此外，结余分配</w:t>
      </w:r>
      <w:r>
        <w:rPr>
          <w:rFonts w:ascii="方正仿宋_GBK" w:hAnsi="方正仿宋_GBK" w:eastAsia="方正仿宋_GBK" w:cs="方正仿宋_GBK"/>
          <w:sz w:val="32"/>
          <w:szCs w:val="32"/>
        </w:rPr>
        <w:t>2.15</w:t>
      </w:r>
      <w:r>
        <w:rPr>
          <w:rFonts w:ascii="方正仿宋_GBK" w:hAnsi="方正仿宋_GBK" w:eastAsia="方正仿宋_GBK" w:cs="方正仿宋_GBK"/>
          <w:sz w:val="32"/>
          <w:szCs w:val="32"/>
          <w:shd w:val="clear" w:color="auto" w:fill="FFFFFF"/>
        </w:rPr>
        <w:t>万元。</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4.结转结余情况。</w:t>
      </w:r>
      <w:r>
        <w:rPr>
          <w:rFonts w:ascii="方正仿宋_GBK" w:hAnsi="方正仿宋_GBK" w:eastAsia="方正仿宋_GBK" w:cs="方正仿宋_GBK"/>
          <w:sz w:val="32"/>
          <w:szCs w:val="32"/>
          <w:shd w:val="clear" w:color="auto" w:fill="FFFFFF"/>
        </w:rPr>
        <w:t>2024年度年末结转和结余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万元，与2024年度相比，无增减，主要原因是本年无结转结余。</w:t>
      </w:r>
    </w:p>
    <w:p>
      <w:pPr>
        <w:pStyle w:val="6"/>
        <w:snapToGrid w:val="0"/>
        <w:spacing w:before="0" w:beforeAutospacing="0" w:after="0" w:afterAutospacing="0" w:line="600" w:lineRule="exact"/>
        <w:ind w:firstLine="643" w:firstLineChars="200"/>
        <w:jc w:val="both"/>
        <w:rPr>
          <w:rFonts w:hint="default" w:ascii="楷体" w:hAnsi="楷体" w:eastAsia="楷体" w:cs="楷体"/>
          <w:b/>
          <w:bCs/>
          <w:sz w:val="32"/>
          <w:szCs w:val="32"/>
          <w:shd w:val="clear" w:color="auto" w:fill="FFFFFF"/>
        </w:rPr>
      </w:pPr>
      <w:r>
        <w:rPr>
          <w:rFonts w:ascii="楷体" w:hAnsi="楷体" w:eastAsia="楷体" w:cs="楷体"/>
          <w:b/>
          <w:bCs/>
          <w:sz w:val="32"/>
          <w:szCs w:val="32"/>
          <w:shd w:val="clear" w:color="auto" w:fill="FFFFFF"/>
        </w:rPr>
        <w:t>（二）财政拨款收入支出决算总体情况说明</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240" w:right="18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2024年度财政拨款收、支总计145.63万元。与2024年相比，财政拨款收、支总计各减少103.77万元，下降41.6%。因2023年安排了</w:t>
      </w:r>
      <w:r>
        <w:rPr>
          <w:rFonts w:hint="default" w:ascii="方正仿宋_GBK" w:hAnsi="方正仿宋_GBK" w:eastAsia="方正仿宋_GBK" w:cs="方正仿宋_GBK"/>
          <w:sz w:val="32"/>
          <w:szCs w:val="32"/>
          <w:shd w:val="clear" w:color="auto" w:fill="FFFFFF"/>
        </w:rPr>
        <w:t>中考工作经费和2024年项目支出减少了财政预算。</w:t>
      </w: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（三）一般公共预算财政拨款收入支出决算情况说明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1.收入情况。</w:t>
      </w:r>
      <w:r>
        <w:rPr>
          <w:rFonts w:ascii="方正仿宋_GBK" w:hAnsi="方正仿宋_GBK" w:eastAsia="方正仿宋_GBK" w:cs="方正仿宋_GBK"/>
          <w:sz w:val="32"/>
          <w:szCs w:val="32"/>
          <w:shd w:val="clear" w:color="auto" w:fill="FFFFFF"/>
        </w:rPr>
        <w:t>2024年度一般公共预算财政拨款收入</w:t>
      </w:r>
      <w:r>
        <w:rPr>
          <w:rFonts w:ascii="方正仿宋_GBK" w:hAnsi="方正仿宋_GBK" w:eastAsia="方正仿宋_GBK" w:cs="方正仿宋_GBK"/>
          <w:sz w:val="32"/>
          <w:szCs w:val="32"/>
        </w:rPr>
        <w:t>145.63</w:t>
      </w:r>
      <w:r>
        <w:rPr>
          <w:rFonts w:ascii="方正仿宋_GBK" w:hAnsi="方正仿宋_GBK" w:eastAsia="方正仿宋_GBK" w:cs="方正仿宋_GBK"/>
          <w:sz w:val="32"/>
          <w:szCs w:val="32"/>
          <w:shd w:val="clear" w:color="auto" w:fill="FFFFFF"/>
        </w:rPr>
        <w:t>万元，与2024年度相比，减少103.77万元，下降41.6%。主要原因是2023年安排了财政预算中考工作经费和2024年项目支出减少。较年初预算数增加15.61万元，增长12.0%。主要原因是</w:t>
      </w:r>
      <w:r>
        <w:rPr>
          <w:rFonts w:hint="default" w:ascii="方正仿宋_GBK" w:hAnsi="方正仿宋_GBK" w:eastAsia="方正仿宋_GBK" w:cs="方正仿宋_GBK"/>
          <w:sz w:val="32"/>
          <w:szCs w:val="32"/>
          <w:shd w:val="clear" w:color="auto" w:fill="FFFFFF"/>
        </w:rPr>
        <w:t>2024年清算补发以前年度超额绩效和健康休养费</w:t>
      </w:r>
      <w:r>
        <w:rPr>
          <w:rFonts w:ascii="方正仿宋_GBK" w:hAnsi="方正仿宋_GBK" w:eastAsia="方正仿宋_GBK" w:cs="方正仿宋_GBK"/>
          <w:sz w:val="32"/>
          <w:szCs w:val="32"/>
          <w:shd w:val="clear" w:color="auto" w:fill="FFFFFF"/>
        </w:rPr>
        <w:t>。此外，年初财政拨款结转和结余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2.支出情况。</w:t>
      </w:r>
      <w:r>
        <w:rPr>
          <w:rFonts w:ascii="方正仿宋_GBK" w:hAnsi="方正仿宋_GBK" w:eastAsia="方正仿宋_GBK" w:cs="方正仿宋_GBK"/>
          <w:sz w:val="32"/>
          <w:szCs w:val="32"/>
          <w:shd w:val="clear" w:color="auto" w:fill="FFFFFF"/>
        </w:rPr>
        <w:t>2024年度一般公共预算财政拨款支出</w:t>
      </w:r>
      <w:r>
        <w:rPr>
          <w:rFonts w:ascii="方正仿宋_GBK" w:hAnsi="方正仿宋_GBK" w:eastAsia="方正仿宋_GBK" w:cs="方正仿宋_GBK"/>
          <w:sz w:val="32"/>
          <w:szCs w:val="32"/>
        </w:rPr>
        <w:t>145.63</w:t>
      </w:r>
      <w:r>
        <w:rPr>
          <w:rFonts w:ascii="方正仿宋_GBK" w:hAnsi="方正仿宋_GBK" w:eastAsia="方正仿宋_GBK" w:cs="方正仿宋_GBK"/>
          <w:sz w:val="32"/>
          <w:szCs w:val="32"/>
          <w:shd w:val="clear" w:color="auto" w:fill="FFFFFF"/>
        </w:rPr>
        <w:t>万元，与2024年度相比，减少103.77万元，下降41.6%。主要原因是</w:t>
      </w:r>
      <w:r>
        <w:rPr>
          <w:rFonts w:hint="default" w:ascii="方正仿宋_GBK" w:hAnsi="方正仿宋_GBK" w:eastAsia="方正仿宋_GBK" w:cs="方正仿宋_GBK"/>
          <w:sz w:val="32"/>
          <w:szCs w:val="32"/>
          <w:shd w:val="clear" w:color="auto" w:fill="FFFFFF"/>
        </w:rPr>
        <w:t>2024年清算补发以前年度超额绩效和健康休养费</w:t>
      </w:r>
      <w:r>
        <w:rPr>
          <w:rFonts w:ascii="方正仿宋_GBK" w:hAnsi="方正仿宋_GBK" w:eastAsia="方正仿宋_GBK" w:cs="方正仿宋_GBK"/>
          <w:sz w:val="32"/>
          <w:szCs w:val="32"/>
          <w:shd w:val="clear" w:color="auto" w:fill="FFFFFF"/>
        </w:rPr>
        <w:t>。较年初预算数增加15.61万元，增长12.0%。主要原因是将超额绩效纳入养老保险和职业年金基数、教职工正常晋升、岗位职级变化等人员经费增加。</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3.结转结余情况。</w:t>
      </w:r>
      <w:r>
        <w:rPr>
          <w:rFonts w:hint="default" w:ascii="方正仿宋_GBK" w:hAnsi="方正仿宋_GBK" w:eastAsia="方正仿宋_GBK" w:cs="方正仿宋_GBK"/>
          <w:sz w:val="32"/>
          <w:szCs w:val="32"/>
          <w:shd w:val="clear" w:color="auto" w:fill="FFFFFF"/>
        </w:rPr>
        <w:t>2024年度年末一般公共预算财政拨款结转和结余0.00万元，与2024年度相比，无增减，主要原因是202</w:t>
      </w:r>
      <w:r>
        <w:rPr>
          <w:rFonts w:hint="eastAsia" w:ascii="方正仿宋_GBK" w:hAnsi="方正仿宋_GBK" w:eastAsia="方正仿宋_GBK" w:cs="方正仿宋_GBK"/>
          <w:sz w:val="32"/>
          <w:szCs w:val="32"/>
          <w:shd w:val="clear" w:color="auto" w:fill="FFFFFF"/>
          <w:lang w:val="en-US" w:eastAsia="zh-CN"/>
        </w:rPr>
        <w:t>3</w:t>
      </w:r>
      <w:r>
        <w:rPr>
          <w:rFonts w:hint="default" w:ascii="方正仿宋_GBK" w:hAnsi="方正仿宋_GBK" w:eastAsia="方正仿宋_GBK" w:cs="方正仿宋_GBK"/>
          <w:sz w:val="32"/>
          <w:szCs w:val="32"/>
          <w:shd w:val="clear" w:color="auto" w:fill="FFFFFF"/>
        </w:rPr>
        <w:t>年和2024年均无一般公共预算财政拨款结转和结余。</w:t>
      </w:r>
      <w:r>
        <w:rPr>
          <w:rFonts w:hint="default" w:ascii="方正仿宋_GBK" w:hAnsi="方正仿宋_GBK" w:eastAsia="方正仿宋_GBK" w:cs="方正仿宋_GBK"/>
          <w:sz w:val="32"/>
          <w:szCs w:val="32"/>
          <w:shd w:val="clear" w:color="auto" w:fill="FFFFFF"/>
        </w:rPr>
        <w:cr/>
      </w:r>
      <w:r>
        <w:rPr>
          <w:rFonts w:ascii="方正仿宋_GBK" w:hAnsi="方正仿宋_GBK" w:eastAsia="方正仿宋_GBK" w:cs="方正仿宋_GBK"/>
          <w:sz w:val="32"/>
          <w:szCs w:val="32"/>
          <w:shd w:val="clear" w:color="auto" w:fill="FFFFFF"/>
        </w:rPr>
        <w:t xml:space="preserve">  </w:t>
      </w:r>
      <w:r>
        <w:rPr>
          <w:rStyle w:val="10"/>
          <w:rFonts w:ascii="方正仿宋_GBK" w:hAnsi="方正仿宋_GBK" w:eastAsia="方正仿宋_GBK" w:cs="方正仿宋_GBK"/>
          <w:sz w:val="32"/>
          <w:szCs w:val="32"/>
          <w:shd w:val="clear" w:color="auto" w:fill="FFFFFF"/>
        </w:rPr>
        <w:t xml:space="preserve"> 4.比较情况。</w:t>
      </w:r>
      <w:r>
        <w:rPr>
          <w:rFonts w:ascii="方正仿宋_GBK" w:hAnsi="方正仿宋_GBK" w:eastAsia="方正仿宋_GBK" w:cs="方正仿宋_GBK"/>
          <w:sz w:val="32"/>
          <w:szCs w:val="32"/>
          <w:shd w:val="clear" w:color="auto" w:fill="FFFFFF"/>
        </w:rPr>
        <w:t>本单位2024年度一般公共预算财政拨款支出主要用于以下几个方面：</w:t>
      </w:r>
    </w:p>
    <w:p>
      <w:pPr>
        <w:pStyle w:val="6"/>
        <w:shd w:val="clear" w:color="auto" w:fill="FFFFFF"/>
        <w:ind w:firstLine="640" w:firstLineChars="200"/>
        <w:rPr>
          <w:rFonts w:ascii="方正仿宋_GBK" w:eastAsia="方正仿宋_GBK"/>
          <w:color w:val="000000" w:themeColor="text1"/>
          <w:sz w:val="32"/>
          <w:szCs w:val="32"/>
        </w:rPr>
      </w:pPr>
      <w:r>
        <w:rPr>
          <w:rFonts w:ascii="方正仿宋_GBK" w:hAnsi="方正仿宋_GBK" w:eastAsia="方正仿宋_GBK" w:cs="方正仿宋_GBK"/>
          <w:sz w:val="32"/>
          <w:szCs w:val="32"/>
          <w:shd w:val="clear" w:color="auto" w:fill="FFFFFF"/>
        </w:rPr>
        <w:t>（1）教育支出</w:t>
      </w:r>
      <w:r>
        <w:rPr>
          <w:rFonts w:ascii="方正仿宋_GBK" w:hAnsi="方正仿宋_GBK" w:eastAsia="方正仿宋_GBK" w:cs="方正仿宋_GBK"/>
          <w:sz w:val="32"/>
          <w:szCs w:val="32"/>
        </w:rPr>
        <w:t>117.14</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80.4%</w:t>
      </w:r>
      <w:r>
        <w:rPr>
          <w:rFonts w:ascii="方正仿宋_GBK" w:hAnsi="方正仿宋_GBK" w:eastAsia="方正仿宋_GBK" w:cs="方正仿宋_GBK"/>
          <w:sz w:val="32"/>
          <w:szCs w:val="32"/>
          <w:shd w:val="clear" w:color="auto" w:fill="FFFFFF"/>
        </w:rPr>
        <w:t>，较年初预算数增加6.92万元，增长6.3%，主要原因是</w:t>
      </w:r>
      <w:r>
        <w:rPr>
          <w:rFonts w:ascii="方正仿宋_GBK" w:eastAsia="方正仿宋_GBK"/>
          <w:color w:val="000000" w:themeColor="text1"/>
          <w:sz w:val="32"/>
          <w:szCs w:val="32"/>
        </w:rPr>
        <w:t>职工正常晋升、晋岗晋级、绩效清算补发等人员经费类基本支出增加。</w:t>
      </w:r>
    </w:p>
    <w:p>
      <w:pPr>
        <w:pStyle w:val="6"/>
        <w:shd w:val="clear" w:color="auto" w:fill="FFFFFF"/>
        <w:ind w:right="-84" w:rightChars="-35" w:firstLine="640" w:firstLineChars="200"/>
        <w:rPr>
          <w:rFonts w:ascii="楷体" w:hAnsi="楷体" w:eastAsia="楷体" w:cs="楷体"/>
          <w:b/>
          <w:bCs/>
          <w:sz w:val="32"/>
          <w:szCs w:val="32"/>
          <w:shd w:val="clear" w:color="auto" w:fill="FFFFFF"/>
        </w:rPr>
      </w:pPr>
      <w:r>
        <w:rPr>
          <w:rFonts w:ascii="方正仿宋_GBK" w:hAnsi="方正仿宋_GBK" w:eastAsia="方正仿宋_GBK" w:cs="方正仿宋_GBK"/>
          <w:sz w:val="32"/>
          <w:szCs w:val="32"/>
          <w:shd w:val="clear" w:color="auto" w:fill="FFFFFF"/>
        </w:rPr>
        <w:t>（2）社会保障与就业支出</w:t>
      </w:r>
      <w:r>
        <w:rPr>
          <w:rFonts w:ascii="方正仿宋_GBK" w:hAnsi="方正仿宋_GBK" w:eastAsia="方正仿宋_GBK" w:cs="方正仿宋_GBK"/>
          <w:sz w:val="32"/>
          <w:szCs w:val="32"/>
        </w:rPr>
        <w:t>21.27</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14.6%</w:t>
      </w:r>
      <w:r>
        <w:rPr>
          <w:rFonts w:ascii="方正仿宋_GBK" w:hAnsi="方正仿宋_GBK" w:eastAsia="方正仿宋_GBK" w:cs="方正仿宋_GBK"/>
          <w:sz w:val="32"/>
          <w:szCs w:val="32"/>
          <w:shd w:val="clear" w:color="auto" w:fill="FFFFFF"/>
        </w:rPr>
        <w:t>，较年初预算数增加9.57万元，增长81.8%，主要原因是本年预算执行中将超额绩效纳入养老保险和职业年金缴费基数导致预算增加。</w:t>
      </w:r>
      <w:r>
        <w:rPr>
          <w:rFonts w:hint="default" w:ascii="方正仿宋_GBK" w:hAnsi="方正仿宋_GBK" w:eastAsia="方正仿宋_GBK" w:cs="方正仿宋_GBK"/>
          <w:sz w:val="32"/>
          <w:szCs w:val="32"/>
          <w:shd w:val="clear" w:color="auto" w:fill="FFFFFF"/>
        </w:rPr>
        <w:cr/>
      </w:r>
      <w:r>
        <w:rPr>
          <w:rFonts w:hint="eastAsia" w:ascii="方正仿宋_GBK" w:hAnsi="方正仿宋_GBK" w:eastAsia="方正仿宋_GBK" w:cs="方正仿宋_GBK"/>
          <w:sz w:val="32"/>
          <w:szCs w:val="32"/>
          <w:shd w:val="clear" w:color="auto" w:fill="FFFFFF"/>
          <w:lang w:val="en-US" w:eastAsia="zh-CN"/>
        </w:rPr>
        <w:t xml:space="preserve">    </w:t>
      </w:r>
      <w:r>
        <w:rPr>
          <w:rFonts w:ascii="方正仿宋_GBK" w:hAnsi="方正仿宋_GBK" w:eastAsia="方正仿宋_GBK" w:cs="方正仿宋_GBK"/>
          <w:sz w:val="32"/>
          <w:szCs w:val="32"/>
          <w:shd w:val="clear" w:color="auto" w:fill="FFFFFF"/>
        </w:rPr>
        <w:t>（3）卫生健康支出</w:t>
      </w:r>
      <w:r>
        <w:rPr>
          <w:rFonts w:ascii="方正仿宋_GBK" w:hAnsi="方正仿宋_GBK" w:eastAsia="方正仿宋_GBK" w:cs="方正仿宋_GBK"/>
          <w:sz w:val="32"/>
          <w:szCs w:val="32"/>
        </w:rPr>
        <w:t>3.28</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2.3%</w:t>
      </w:r>
      <w:r>
        <w:rPr>
          <w:rFonts w:ascii="方正仿宋_GBK" w:hAnsi="方正仿宋_GBK" w:eastAsia="方正仿宋_GBK" w:cs="方正仿宋_GBK"/>
          <w:sz w:val="32"/>
          <w:szCs w:val="32"/>
          <w:shd w:val="clear" w:color="auto" w:fill="FFFFFF"/>
        </w:rPr>
        <w:t>，较年初预算数减少0.40万元，下降10.9%，主要原因是本年预算执行中教职工退休后减少了缴费基数。</w:t>
      </w:r>
      <w:r>
        <w:rPr>
          <w:rFonts w:hint="default" w:ascii="方正仿宋_GBK" w:hAnsi="方正仿宋_GBK" w:eastAsia="方正仿宋_GBK" w:cs="方正仿宋_GBK"/>
          <w:sz w:val="32"/>
          <w:szCs w:val="32"/>
          <w:shd w:val="clear" w:color="auto" w:fill="FFFFFF"/>
        </w:rPr>
        <w:cr/>
      </w:r>
      <w:r>
        <w:rPr>
          <w:rFonts w:hint="eastAsia" w:ascii="方正仿宋_GBK" w:hAnsi="方正仿宋_GBK" w:eastAsia="方正仿宋_GBK" w:cs="方正仿宋_GBK"/>
          <w:sz w:val="32"/>
          <w:szCs w:val="32"/>
          <w:shd w:val="clear" w:color="auto" w:fill="FFFFFF"/>
          <w:lang w:val="en-US" w:eastAsia="zh-CN"/>
        </w:rPr>
        <w:t xml:space="preserve">   </w:t>
      </w:r>
      <w:r>
        <w:rPr>
          <w:rFonts w:ascii="方正仿宋_GBK" w:hAnsi="方正仿宋_GBK" w:eastAsia="方正仿宋_GBK" w:cs="方正仿宋_GBK"/>
          <w:sz w:val="32"/>
          <w:szCs w:val="32"/>
          <w:shd w:val="clear" w:color="auto" w:fill="FFFFFF"/>
        </w:rPr>
        <w:t>（4）</w:t>
      </w:r>
      <w:r>
        <w:rPr>
          <w:rFonts w:ascii="方正仿宋_GBK" w:hAnsi="方正仿宋_GBK" w:eastAsia="方正仿宋_GBK" w:cs="方正仿宋_GBK"/>
          <w:sz w:val="32"/>
          <w:szCs w:val="32"/>
        </w:rPr>
        <w:t>住房保障支出3.93</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2.7%</w:t>
      </w:r>
      <w:r>
        <w:rPr>
          <w:rFonts w:ascii="方正仿宋_GBK" w:hAnsi="方正仿宋_GBK" w:eastAsia="方正仿宋_GBK" w:cs="方正仿宋_GBK"/>
          <w:sz w:val="32"/>
          <w:szCs w:val="32"/>
          <w:shd w:val="clear" w:color="auto" w:fill="FFFFFF"/>
        </w:rPr>
        <w:t>，较年初预算数减少0.49万元，下降11.1%，主要原因是本年预算执行中教职工退休后减少了缴费基数。</w:t>
      </w:r>
      <w:r>
        <w:rPr>
          <w:rFonts w:hint="default" w:ascii="方正仿宋_GBK" w:hAnsi="方正仿宋_GBK" w:eastAsia="方正仿宋_GBK" w:cs="方正仿宋_GBK"/>
          <w:color w:val="FF0000"/>
          <w:sz w:val="32"/>
          <w:szCs w:val="32"/>
          <w:shd w:val="clear" w:color="auto" w:fill="FFFFFF"/>
        </w:rPr>
        <w:cr/>
      </w:r>
      <w:r>
        <w:rPr>
          <w:rFonts w:hint="eastAsia" w:ascii="方正仿宋_GBK" w:hAnsi="方正仿宋_GBK" w:eastAsia="方正仿宋_GBK" w:cs="方正仿宋_GBK"/>
          <w:color w:val="FF0000"/>
          <w:sz w:val="32"/>
          <w:szCs w:val="32"/>
          <w:shd w:val="clear" w:color="auto" w:fill="FFFFFF"/>
          <w:lang w:val="en-US" w:eastAsia="zh-CN"/>
        </w:rPr>
        <w:t xml:space="preserve">   </w:t>
      </w:r>
      <w:r>
        <w:rPr>
          <w:rFonts w:hint="eastAsia" w:ascii="楷体" w:hAnsi="楷体" w:eastAsia="楷体" w:cs="楷体"/>
          <w:b/>
          <w:bCs/>
          <w:sz w:val="32"/>
          <w:szCs w:val="32"/>
          <w:shd w:val="clear" w:color="auto" w:fill="FFFFFF"/>
        </w:rPr>
        <w:t>（四）一般公共预算财政拨款基本支出决算情况说明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2024年度一般公共</w:t>
      </w:r>
      <w:r>
        <w:rPr>
          <w:rFonts w:hint="eastAsia" w:ascii="方正仿宋_GBK" w:hAnsi="方正仿宋_GBK" w:eastAsia="方正仿宋_GBK" w:cs="方正仿宋_GBK"/>
          <w:sz w:val="32"/>
          <w:szCs w:val="32"/>
          <w:shd w:val="clear" w:color="auto" w:fill="FFFFFF"/>
          <w:lang w:val="en-US" w:eastAsia="zh-CN"/>
        </w:rPr>
        <w:t>预算</w:t>
      </w:r>
      <w:r>
        <w:rPr>
          <w:rFonts w:ascii="方正仿宋_GBK" w:hAnsi="方正仿宋_GBK" w:eastAsia="方正仿宋_GBK" w:cs="方正仿宋_GBK"/>
          <w:sz w:val="32"/>
          <w:szCs w:val="32"/>
          <w:shd w:val="clear" w:color="auto" w:fill="FFFFFF"/>
        </w:rPr>
        <w:t>财政拨款基本支出</w:t>
      </w:r>
      <w:r>
        <w:rPr>
          <w:rFonts w:ascii="方正仿宋_GBK" w:hAnsi="方正仿宋_GBK" w:eastAsia="方正仿宋_GBK" w:cs="方正仿宋_GBK"/>
          <w:sz w:val="32"/>
          <w:szCs w:val="32"/>
        </w:rPr>
        <w:t>110.03</w:t>
      </w:r>
      <w:r>
        <w:rPr>
          <w:rFonts w:ascii="方正仿宋_GBK" w:hAnsi="方正仿宋_GBK" w:eastAsia="方正仿宋_GBK" w:cs="方正仿宋_GBK"/>
          <w:sz w:val="32"/>
          <w:szCs w:val="32"/>
          <w:shd w:val="clear" w:color="auto" w:fill="FFFFFF"/>
        </w:rPr>
        <w:t>万元。其中：人员经费</w:t>
      </w:r>
      <w:r>
        <w:rPr>
          <w:rFonts w:ascii="方正仿宋_GBK" w:hAnsi="方正仿宋_GBK" w:eastAsia="方正仿宋_GBK" w:cs="方正仿宋_GBK"/>
          <w:sz w:val="32"/>
          <w:szCs w:val="32"/>
        </w:rPr>
        <w:t>94.99</w:t>
      </w:r>
      <w:r>
        <w:rPr>
          <w:rFonts w:ascii="方正仿宋_GBK" w:hAnsi="方正仿宋_GBK" w:eastAsia="方正仿宋_GBK" w:cs="方正仿宋_GBK"/>
          <w:sz w:val="32"/>
          <w:szCs w:val="32"/>
          <w:shd w:val="clear" w:color="auto" w:fill="FFFFFF"/>
        </w:rPr>
        <w:t>万元，与2024年度相比，减少15.54万元，下降14.1%，主要原因是</w:t>
      </w:r>
      <w:r>
        <w:rPr>
          <w:rFonts w:hint="default" w:ascii="方正仿宋_GBK" w:hAnsi="方正仿宋_GBK" w:eastAsia="方正仿宋_GBK" w:cs="方正仿宋_GBK"/>
          <w:sz w:val="32"/>
          <w:szCs w:val="32"/>
          <w:shd w:val="clear" w:color="auto" w:fill="FFFFFF"/>
        </w:rPr>
        <w:t>2024年清算补发以前年度超额绩效和健康休养费</w:t>
      </w:r>
      <w:r>
        <w:rPr>
          <w:rFonts w:ascii="方正仿宋_GBK" w:hAnsi="方正仿宋_GBK" w:eastAsia="方正仿宋_GBK" w:cs="方正仿宋_GBK"/>
          <w:sz w:val="32"/>
          <w:szCs w:val="32"/>
          <w:shd w:val="clear" w:color="auto" w:fill="FFFFFF"/>
        </w:rPr>
        <w:t>、</w:t>
      </w:r>
      <w:r>
        <w:rPr>
          <w:rFonts w:hint="default" w:ascii="方正仿宋_GBK" w:hAnsi="方正仿宋_GBK" w:eastAsia="方正仿宋_GBK" w:cs="方正仿宋_GBK"/>
          <w:sz w:val="32"/>
          <w:szCs w:val="32"/>
          <w:shd w:val="clear" w:color="auto" w:fill="FFFFFF"/>
        </w:rPr>
        <w:t>退休人员生活补贴等。</w:t>
      </w:r>
      <w:r>
        <w:rPr>
          <w:rFonts w:ascii="方正仿宋_GBK" w:hAnsi="方正仿宋_GBK" w:eastAsia="方正仿宋_GBK" w:cs="方正仿宋_GBK"/>
          <w:sz w:val="32"/>
          <w:szCs w:val="32"/>
          <w:shd w:val="clear" w:color="auto" w:fill="FFFFFF"/>
        </w:rPr>
        <w:t>公用经费</w:t>
      </w:r>
      <w:r>
        <w:rPr>
          <w:rFonts w:ascii="方正仿宋_GBK" w:hAnsi="方正仿宋_GBK" w:eastAsia="方正仿宋_GBK" w:cs="方正仿宋_GBK"/>
          <w:sz w:val="32"/>
          <w:szCs w:val="32"/>
        </w:rPr>
        <w:t>15.04</w:t>
      </w:r>
      <w:r>
        <w:rPr>
          <w:rFonts w:ascii="方正仿宋_GBK" w:hAnsi="方正仿宋_GBK" w:eastAsia="方正仿宋_GBK" w:cs="方正仿宋_GBK"/>
          <w:sz w:val="32"/>
          <w:szCs w:val="32"/>
          <w:shd w:val="clear" w:color="auto" w:fill="FFFFFF"/>
        </w:rPr>
        <w:t>万元，与2024年度相比，增加0.42万元，增长2.9%，主要原因是业务活动需要，办公经费需求增加。公用经费用途主要包括</w:t>
      </w:r>
      <w:r>
        <w:rPr>
          <w:rFonts w:ascii="方正仿宋_GBK" w:eastAsia="方正仿宋_GBK"/>
          <w:color w:val="000000" w:themeColor="text1"/>
          <w:sz w:val="32"/>
          <w:szCs w:val="32"/>
        </w:rPr>
        <w:t>正常运行的办公支出、水电费等支出。</w:t>
      </w:r>
    </w:p>
    <w:p>
      <w:pPr>
        <w:pStyle w:val="6"/>
        <w:snapToGrid w:val="0"/>
        <w:spacing w:before="0" w:beforeAutospacing="0" w:after="0" w:afterAutospacing="0" w:line="600" w:lineRule="exact"/>
        <w:ind w:firstLine="643" w:firstLineChars="200"/>
        <w:jc w:val="both"/>
        <w:rPr>
          <w:rFonts w:hint="default" w:ascii="楷体" w:hAnsi="楷体" w:eastAsia="楷体" w:cs="楷体"/>
          <w:b/>
          <w:bCs/>
          <w:sz w:val="32"/>
          <w:szCs w:val="32"/>
          <w:shd w:val="clear" w:color="auto" w:fill="FFFFFF"/>
        </w:rPr>
      </w:pPr>
      <w:r>
        <w:rPr>
          <w:rFonts w:ascii="楷体" w:hAnsi="楷体" w:eastAsia="楷体" w:cs="楷体"/>
          <w:b/>
          <w:bCs/>
          <w:sz w:val="32"/>
          <w:szCs w:val="32"/>
          <w:shd w:val="clear" w:color="auto" w:fill="FFFFFF"/>
        </w:rPr>
        <w:t>（五）政府性基金预算收支决算情况说明</w:t>
      </w:r>
    </w:p>
    <w:p>
      <w:pPr>
        <w:pStyle w:val="11"/>
        <w:autoSpaceDE w:val="0"/>
        <w:ind w:firstLine="640"/>
        <w:rPr>
          <w:rFonts w:ascii="方正仿宋_GBK" w:eastAsia="方正仿宋_GBK"/>
          <w:color w:val="000000" w:themeColor="text1"/>
          <w:sz w:val="32"/>
          <w:szCs w:val="32"/>
        </w:rPr>
      </w:pPr>
      <w:r>
        <w:rPr>
          <w:rFonts w:ascii="方正仿宋_GBK" w:hAnsi="方正仿宋_GBK" w:eastAsia="方正仿宋_GBK" w:cs="方正仿宋_GBK"/>
          <w:sz w:val="32"/>
          <w:szCs w:val="32"/>
          <w:shd w:val="clear" w:color="auto" w:fill="FFFFFF"/>
        </w:rPr>
        <w:t>2024年度政府性基金预算财政拨款年初结转结余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万元，年末结转结余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万元。本年收入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w:t>
      </w:r>
      <w:r>
        <w:rPr>
          <w:rFonts w:ascii="Times New Roman" w:hAnsi="Times New Roman" w:eastAsia="方正仿宋_GBK"/>
          <w:color w:val="000000" w:themeColor="text1"/>
          <w:sz w:val="32"/>
          <w:szCs w:val="32"/>
          <w:shd w:val="clear" w:color="auto" w:fill="FFFFFF"/>
        </w:rPr>
        <w:t>本年度无政府性基金预算财政拨款收入。</w:t>
      </w:r>
      <w:r>
        <w:rPr>
          <w:rFonts w:ascii="方正仿宋_GBK" w:hAnsi="方正仿宋_GBK" w:eastAsia="方正仿宋_GBK" w:cs="方正仿宋_GBK"/>
          <w:sz w:val="32"/>
          <w:szCs w:val="32"/>
          <w:shd w:val="clear" w:color="auto" w:fill="FFFFFF"/>
        </w:rPr>
        <w:t>本年支出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w:t>
      </w:r>
      <w:r>
        <w:rPr>
          <w:rFonts w:ascii="Times New Roman" w:hAnsi="Times New Roman" w:eastAsia="方正仿宋_GBK"/>
          <w:color w:val="000000" w:themeColor="text1"/>
          <w:sz w:val="32"/>
          <w:szCs w:val="32"/>
          <w:shd w:val="clear" w:color="auto" w:fill="FFFFFF"/>
        </w:rPr>
        <w:t>本年度无政府性基金预算财政拨款支出。本单位2024年度无政府性基金预算财政拨款收支。</w:t>
      </w:r>
    </w:p>
    <w:p>
      <w:pPr>
        <w:pStyle w:val="11"/>
        <w:autoSpaceDE w:val="0"/>
        <w:ind w:firstLine="640"/>
        <w:rPr>
          <w:rFonts w:ascii="方正楷体_GBK" w:hAnsi="楷体" w:eastAsia="方正楷体_GBK" w:cs="楷体"/>
          <w:b/>
          <w:bCs/>
          <w:color w:val="000000" w:themeColor="text1"/>
          <w:sz w:val="32"/>
          <w:szCs w:val="32"/>
          <w:shd w:val="clear" w:color="auto" w:fill="FFFFFF"/>
          <w:lang w:bidi="ar"/>
        </w:rPr>
      </w:pPr>
      <w:r>
        <w:rPr>
          <w:rFonts w:hint="eastAsia" w:ascii="方正楷体_GBK" w:hAnsi="楷体" w:eastAsia="方正楷体_GBK" w:cs="楷体"/>
          <w:b/>
          <w:bCs/>
          <w:color w:val="000000" w:themeColor="text1"/>
          <w:sz w:val="32"/>
          <w:szCs w:val="32"/>
          <w:shd w:val="clear" w:color="auto" w:fill="FFFFFF"/>
          <w:lang w:bidi="ar"/>
        </w:rPr>
        <w:t>（六）国有资本经营预算财政拨款支出决算情况说明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000000" w:themeColor="text1"/>
          <w:sz w:val="32"/>
          <w:szCs w:val="32"/>
        </w:rPr>
      </w:pPr>
      <w:r>
        <w:rPr>
          <w:rFonts w:ascii="方正仿宋_GBK" w:hAnsi="方正仿宋_GBK" w:eastAsia="方正仿宋_GBK" w:cs="方正仿宋_GBK"/>
          <w:color w:val="000000" w:themeColor="text1"/>
          <w:sz w:val="32"/>
          <w:szCs w:val="32"/>
          <w:shd w:val="clear" w:color="auto" w:fill="FFFFFF"/>
        </w:rPr>
        <w:t>2024年度国有资本经营预算财政拨本年支出</w:t>
      </w:r>
      <w:r>
        <w:rPr>
          <w:rFonts w:ascii="方正仿宋_GBK" w:hAnsi="方正仿宋_GBK" w:eastAsia="方正仿宋_GBK" w:cs="方正仿宋_GBK"/>
          <w:color w:val="000000" w:themeColor="text1"/>
          <w:sz w:val="32"/>
          <w:szCs w:val="32"/>
        </w:rPr>
        <w:t>0.00</w:t>
      </w:r>
      <w:r>
        <w:rPr>
          <w:rFonts w:ascii="方正仿宋_GBK" w:hAnsi="方正仿宋_GBK" w:eastAsia="方正仿宋_GBK" w:cs="方正仿宋_GBK"/>
          <w:color w:val="000000" w:themeColor="text1"/>
          <w:sz w:val="32"/>
          <w:szCs w:val="32"/>
          <w:shd w:val="clear" w:color="auto" w:fill="FFFFFF"/>
        </w:rPr>
        <w:t>万元，基本支出</w:t>
      </w:r>
      <w:r>
        <w:rPr>
          <w:rFonts w:ascii="方正仿宋_GBK" w:hAnsi="方正仿宋_GBK" w:eastAsia="方正仿宋_GBK" w:cs="方正仿宋_GBK"/>
          <w:color w:val="000000" w:themeColor="text1"/>
          <w:sz w:val="32"/>
          <w:szCs w:val="32"/>
        </w:rPr>
        <w:t>0.00</w:t>
      </w:r>
      <w:r>
        <w:rPr>
          <w:rFonts w:ascii="方正仿宋_GBK" w:hAnsi="方正仿宋_GBK" w:eastAsia="方正仿宋_GBK" w:cs="方正仿宋_GBK"/>
          <w:color w:val="000000" w:themeColor="text1"/>
          <w:sz w:val="32"/>
          <w:szCs w:val="32"/>
          <w:shd w:val="clear" w:color="auto" w:fill="FFFFFF"/>
        </w:rPr>
        <w:t>万元，项目支出</w:t>
      </w:r>
      <w:r>
        <w:rPr>
          <w:rFonts w:ascii="方正仿宋_GBK" w:hAnsi="方正仿宋_GBK" w:eastAsia="方正仿宋_GBK" w:cs="方正仿宋_GBK"/>
          <w:color w:val="000000" w:themeColor="text1"/>
          <w:sz w:val="32"/>
          <w:szCs w:val="32"/>
        </w:rPr>
        <w:t>0.00</w:t>
      </w:r>
      <w:r>
        <w:rPr>
          <w:rFonts w:ascii="方正仿宋_GBK" w:hAnsi="方正仿宋_GBK" w:eastAsia="方正仿宋_GBK" w:cs="方正仿宋_GBK"/>
          <w:color w:val="000000" w:themeColor="text1"/>
          <w:sz w:val="32"/>
          <w:szCs w:val="32"/>
          <w:shd w:val="clear" w:color="auto" w:fill="FFFFFF"/>
        </w:rPr>
        <w:t>万元</w:t>
      </w:r>
      <w:r>
        <w:rPr>
          <w:rFonts w:ascii="方正仿宋_GBK" w:eastAsia="方正仿宋_GBK"/>
          <w:color w:val="000000" w:themeColor="text1"/>
          <w:sz w:val="32"/>
          <w:szCs w:val="32"/>
        </w:rPr>
        <w:t>。本单位2024年度无国有资本经营预算财政拨款支出。</w:t>
      </w:r>
    </w:p>
    <w:p>
      <w:pPr>
        <w:pStyle w:val="6"/>
        <w:shd w:val="clear" w:color="auto" w:fill="FFFFFF"/>
        <w:rPr>
          <w:rStyle w:val="10"/>
          <w:rFonts w:hint="default" w:ascii="黑体" w:hAnsi="黑体" w:eastAsia="黑体" w:cs="黑体"/>
          <w:shd w:val="clear" w:color="auto" w:fill="FFFFFF"/>
        </w:rPr>
      </w:pPr>
      <w:r>
        <w:rPr>
          <w:rStyle w:val="10"/>
          <w:rFonts w:ascii="黑体" w:hAnsi="黑体" w:eastAsia="黑体" w:cs="黑体"/>
          <w:sz w:val="32"/>
          <w:szCs w:val="32"/>
          <w:shd w:val="clear" w:color="auto" w:fill="FFFFFF"/>
        </w:rPr>
        <w:t>三、</w:t>
      </w:r>
      <w:r>
        <w:rPr>
          <w:rStyle w:val="10"/>
          <w:rFonts w:hint="eastAsia" w:ascii="黑体" w:hAnsi="黑体" w:eastAsia="黑体" w:cs="黑体"/>
          <w:sz w:val="32"/>
          <w:szCs w:val="32"/>
          <w:shd w:val="clear" w:color="auto" w:fill="FFFFFF"/>
          <w:lang w:eastAsia="zh-CN"/>
        </w:rPr>
        <w:t>财政拨款</w:t>
      </w:r>
      <w:r>
        <w:rPr>
          <w:rStyle w:val="10"/>
          <w:rFonts w:ascii="黑体" w:hAnsi="黑体" w:eastAsia="黑体" w:cs="黑体"/>
          <w:sz w:val="32"/>
          <w:szCs w:val="32"/>
          <w:shd w:val="clear" w:color="auto" w:fill="FFFFFF"/>
        </w:rPr>
        <w:t>“三公”经费情况说明</w:t>
      </w:r>
    </w:p>
    <w:p>
      <w:pPr>
        <w:pStyle w:val="11"/>
        <w:autoSpaceDE w:val="0"/>
        <w:ind w:firstLine="640"/>
        <w:rPr>
          <w:rFonts w:ascii="方正楷体_GBK" w:hAnsi="楷体" w:eastAsia="方正楷体_GBK" w:cs="楷体"/>
          <w:bCs/>
          <w:color w:val="000000" w:themeColor="text1"/>
          <w:lang w:bidi="ar"/>
        </w:rPr>
      </w:pPr>
      <w:r>
        <w:rPr>
          <w:rFonts w:hint="eastAsia" w:ascii="方正楷体_GBK" w:hAnsi="楷体" w:eastAsia="方正楷体_GBK" w:cs="楷体"/>
          <w:b/>
          <w:bCs/>
          <w:color w:val="000000" w:themeColor="text1"/>
          <w:sz w:val="32"/>
          <w:szCs w:val="32"/>
          <w:shd w:val="clear" w:color="auto" w:fill="FFFFFF"/>
          <w:lang w:bidi="ar"/>
        </w:rPr>
        <w:t>（一）“三公”经费支出总体情况说明</w:t>
      </w:r>
    </w:p>
    <w:p>
      <w:pPr>
        <w:ind w:firstLine="640" w:firstLineChars="200"/>
        <w:rPr>
          <w:rFonts w:hint="default" w:ascii="方正仿宋_GBK" w:eastAsia="方正仿宋_GBK"/>
          <w:color w:val="000000" w:themeColor="text1"/>
          <w:sz w:val="32"/>
          <w:szCs w:val="32"/>
        </w:rPr>
      </w:pPr>
      <w:r>
        <w:rPr>
          <w:rFonts w:ascii="方正仿宋_GBK" w:hAnsi="方正仿宋_GBK" w:eastAsia="方正仿宋_GBK" w:cs="方正仿宋_GBK"/>
          <w:color w:val="000000" w:themeColor="text1"/>
          <w:sz w:val="32"/>
          <w:szCs w:val="32"/>
          <w:shd w:val="clear" w:color="auto" w:fill="FFFFFF"/>
        </w:rPr>
        <w:t>2024年度“三公”经费支出共计</w:t>
      </w:r>
      <w:r>
        <w:rPr>
          <w:rFonts w:ascii="方正仿宋_GBK" w:hAnsi="方正仿宋_GBK" w:eastAsia="方正仿宋_GBK" w:cs="方正仿宋_GBK"/>
          <w:color w:val="000000" w:themeColor="text1"/>
          <w:sz w:val="32"/>
          <w:szCs w:val="32"/>
        </w:rPr>
        <w:t>0.00</w:t>
      </w:r>
      <w:r>
        <w:rPr>
          <w:rFonts w:ascii="方正仿宋_GBK" w:hAnsi="方正仿宋_GBK" w:eastAsia="方正仿宋_GBK" w:cs="方正仿宋_GBK"/>
          <w:color w:val="000000" w:themeColor="text1"/>
          <w:sz w:val="32"/>
          <w:szCs w:val="32"/>
          <w:shd w:val="clear" w:color="auto" w:fill="FFFFFF"/>
        </w:rPr>
        <w:t>万元，较年初预算数无增减，</w:t>
      </w:r>
      <w:r>
        <w:rPr>
          <w:rFonts w:ascii="方正仿宋_GBK" w:eastAsia="方正仿宋_GBK"/>
          <w:color w:val="000000" w:themeColor="text1"/>
          <w:sz w:val="32"/>
          <w:szCs w:val="32"/>
        </w:rPr>
        <w:t>主要原因是年初预算数未安排“三公”经费支出。较上年支出数无增减，主要原因是上年和本年均未发生</w:t>
      </w:r>
      <w:r>
        <w:rPr>
          <w:rFonts w:ascii="方正仿宋_GBK" w:eastAsia="方正仿宋_GBK"/>
          <w:bCs/>
          <w:color w:val="000000" w:themeColor="text1"/>
          <w:sz w:val="32"/>
          <w:szCs w:val="32"/>
        </w:rPr>
        <w:t>“三公”经费开支</w:t>
      </w:r>
      <w:r>
        <w:rPr>
          <w:rFonts w:ascii="方正仿宋_GBK" w:eastAsia="方正仿宋_GBK"/>
          <w:color w:val="000000" w:themeColor="text1"/>
          <w:sz w:val="32"/>
          <w:szCs w:val="32"/>
        </w:rPr>
        <w:t>。</w:t>
      </w:r>
    </w:p>
    <w:p>
      <w:pPr>
        <w:pStyle w:val="11"/>
        <w:autoSpaceDE w:val="0"/>
        <w:ind w:firstLine="640"/>
        <w:rPr>
          <w:rFonts w:ascii="方正楷体_GBK" w:hAnsi="楷体" w:eastAsia="方正楷体_GBK" w:cs="楷体"/>
          <w:b/>
          <w:bCs/>
          <w:color w:val="000000" w:themeColor="text1"/>
          <w:sz w:val="32"/>
          <w:szCs w:val="32"/>
          <w:shd w:val="clear" w:color="auto" w:fill="FFFFFF"/>
          <w:lang w:bidi="ar"/>
        </w:rPr>
      </w:pPr>
      <w:r>
        <w:rPr>
          <w:rFonts w:hint="eastAsia" w:ascii="方正楷体_GBK" w:hAnsi="楷体" w:eastAsia="方正楷体_GBK" w:cs="楷体"/>
          <w:b/>
          <w:bCs/>
          <w:color w:val="000000" w:themeColor="text1"/>
          <w:sz w:val="32"/>
          <w:szCs w:val="32"/>
          <w:shd w:val="clear" w:color="auto" w:fill="FFFFFF"/>
          <w:lang w:bidi="ar"/>
        </w:rPr>
        <w:t>（二）“三公”经费分项支出情况</w:t>
      </w:r>
    </w:p>
    <w:p>
      <w:pPr>
        <w:pStyle w:val="6"/>
        <w:snapToGrid w:val="0"/>
        <w:spacing w:before="0" w:beforeAutospacing="0" w:after="0" w:afterAutospacing="0" w:line="600" w:lineRule="exact"/>
        <w:ind w:firstLine="640" w:firstLineChars="200"/>
        <w:jc w:val="both"/>
        <w:rPr>
          <w:rFonts w:ascii="方正仿宋_GBK" w:hAnsi="方正仿宋_GBK" w:eastAsia="方正仿宋_GBK" w:cs="方正仿宋_GBK"/>
          <w:kern w:val="0"/>
          <w:sz w:val="32"/>
          <w:szCs w:val="32"/>
          <w:shd w:val="clear" w:color="auto" w:fill="FFFFFF"/>
        </w:rPr>
      </w:pPr>
      <w:r>
        <w:rPr>
          <w:rFonts w:ascii="方正仿宋_GBK" w:hAnsi="方正仿宋_GBK" w:eastAsia="方正仿宋_GBK" w:cs="方正仿宋_GBK"/>
          <w:kern w:val="0"/>
          <w:sz w:val="32"/>
          <w:szCs w:val="32"/>
          <w:shd w:val="clear" w:color="auto" w:fill="FFFFFF"/>
        </w:rPr>
        <w:t>2024年度本</w:t>
      </w:r>
      <w:r>
        <w:rPr>
          <w:rFonts w:hint="eastAsia" w:ascii="方正仿宋_GBK" w:hAnsi="方正仿宋_GBK" w:eastAsia="方正仿宋_GBK" w:cs="方正仿宋_GBK"/>
          <w:kern w:val="0"/>
          <w:sz w:val="32"/>
          <w:szCs w:val="32"/>
          <w:shd w:val="clear" w:color="auto" w:fill="FFFFFF"/>
        </w:rPr>
        <w:t>单位</w:t>
      </w:r>
      <w:r>
        <w:rPr>
          <w:rFonts w:ascii="方正仿宋_GBK" w:hAnsi="方正仿宋_GBK" w:eastAsia="方正仿宋_GBK" w:cs="方正仿宋_GBK"/>
          <w:kern w:val="0"/>
          <w:sz w:val="32"/>
          <w:szCs w:val="32"/>
          <w:shd w:val="clear" w:color="auto" w:fill="FFFFFF"/>
        </w:rPr>
        <w:t>因公出国（境）费用0.00万元。费用支出较年初预算数无增减，主要原因是年初预算未安排因公出国（境）费用，也未发生因公出国（境）费用。较上年支出数无增减，主要原因是上年和本年均未发生因公出国（境）费用。</w:t>
      </w:r>
    </w:p>
    <w:p>
      <w:pPr>
        <w:widowControl/>
        <w:adjustRightInd w:val="0"/>
        <w:snapToGrid w:val="0"/>
        <w:spacing w:line="600" w:lineRule="exact"/>
        <w:ind w:firstLine="640" w:firstLineChars="200"/>
        <w:rPr>
          <w:rFonts w:ascii="方正仿宋_GBK" w:hAnsi="方正仿宋_GBK" w:eastAsia="方正仿宋_GBK" w:cs="方正仿宋_GBK"/>
          <w:kern w:val="0"/>
          <w:sz w:val="32"/>
          <w:szCs w:val="32"/>
          <w:shd w:val="clear" w:color="auto" w:fill="FFFFFF"/>
        </w:rPr>
      </w:pPr>
      <w:r>
        <w:rPr>
          <w:rFonts w:ascii="方正仿宋_GBK" w:hAnsi="方正仿宋_GBK" w:eastAsia="方正仿宋_GBK" w:cs="方正仿宋_GBK"/>
          <w:kern w:val="0"/>
          <w:sz w:val="32"/>
          <w:szCs w:val="32"/>
          <w:shd w:val="clear" w:color="auto" w:fill="FFFFFF"/>
        </w:rPr>
        <w:t>公务车购置费0.00万元。费用支出较年初预算数无增减，主要原因是年初预算未安排且本年未发生公务车购置费用。较上年支出数无增减，主要原因是上年和本年均未发生公务车购置费用。</w:t>
      </w:r>
    </w:p>
    <w:p>
      <w:pPr>
        <w:widowControl/>
        <w:adjustRightInd w:val="0"/>
        <w:snapToGrid w:val="0"/>
        <w:spacing w:line="600" w:lineRule="exact"/>
        <w:ind w:firstLine="640" w:firstLineChars="200"/>
        <w:rPr>
          <w:rFonts w:ascii="方正仿宋_GBK" w:hAnsi="方正仿宋_GBK" w:eastAsia="方正仿宋_GBK" w:cs="方正仿宋_GBK"/>
          <w:kern w:val="0"/>
          <w:sz w:val="32"/>
          <w:szCs w:val="32"/>
          <w:shd w:val="clear" w:color="auto" w:fill="FFFFFF"/>
        </w:rPr>
      </w:pPr>
      <w:r>
        <w:rPr>
          <w:rFonts w:ascii="方正仿宋_GBK" w:hAnsi="方正仿宋_GBK" w:eastAsia="方正仿宋_GBK" w:cs="方正仿宋_GBK"/>
          <w:kern w:val="0"/>
          <w:sz w:val="32"/>
          <w:szCs w:val="32"/>
          <w:shd w:val="clear" w:color="auto" w:fill="FFFFFF"/>
        </w:rPr>
        <w:t xml:space="preserve"> 公务车运行维护费0.00万元。费用支出较年初预算数无增减，主要原因是年初预算未安排且本年未发生公务车运行维护费用。较上年支出数无增减，主要原因是上年和本年均未发生公务车运行维护费用。</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000000" w:themeColor="text1"/>
          <w:sz w:val="32"/>
          <w:szCs w:val="32"/>
        </w:rPr>
      </w:pPr>
      <w:r>
        <w:rPr>
          <w:rFonts w:ascii="方正仿宋_GBK" w:hAnsi="方正仿宋_GBK" w:eastAsia="方正仿宋_GBK" w:cs="方正仿宋_GBK"/>
          <w:sz w:val="32"/>
          <w:szCs w:val="32"/>
          <w:shd w:val="clear" w:color="auto" w:fill="FFFFFF"/>
        </w:rPr>
        <w:t>公务接待费</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万元。费用支出较年初预算数无增减，</w:t>
      </w:r>
      <w:r>
        <w:rPr>
          <w:rFonts w:ascii="方正仿宋_GBK" w:eastAsia="方正仿宋_GBK"/>
          <w:sz w:val="32"/>
          <w:szCs w:val="32"/>
        </w:rPr>
        <w:t>主要原因是年初预算未安排且本年未发生公务接待费用</w:t>
      </w:r>
      <w:r>
        <w:rPr>
          <w:rFonts w:ascii="方正仿宋_GBK" w:hAnsi="方正仿宋_GBK" w:eastAsia="方正仿宋_GBK" w:cs="方正仿宋_GBK"/>
          <w:sz w:val="32"/>
          <w:szCs w:val="32"/>
          <w:shd w:val="clear" w:color="auto" w:fill="FFFFFF"/>
        </w:rPr>
        <w:t>。较上年支出数无增减，</w:t>
      </w:r>
      <w:r>
        <w:rPr>
          <w:rFonts w:ascii="方正仿宋_GBK" w:eastAsia="方正仿宋_GBK"/>
          <w:sz w:val="32"/>
          <w:szCs w:val="32"/>
        </w:rPr>
        <w:t>主要原因是上年和本年均未发生公务接待费用。</w:t>
      </w:r>
    </w:p>
    <w:p>
      <w:pPr>
        <w:pStyle w:val="11"/>
        <w:autoSpaceDE w:val="0"/>
        <w:ind w:firstLine="643"/>
        <w:rPr>
          <w:rFonts w:ascii="楷体" w:hAnsi="楷体" w:eastAsia="楷体" w:cs="楷体"/>
          <w:b/>
          <w:bCs/>
          <w:sz w:val="32"/>
          <w:szCs w:val="32"/>
          <w:shd w:val="clear" w:color="auto" w:fill="FFFFFF"/>
          <w:lang w:bidi="ar"/>
        </w:rPr>
      </w:pPr>
      <w:r>
        <w:rPr>
          <w:rFonts w:hint="eastAsia" w:ascii="楷体" w:hAnsi="楷体" w:eastAsia="楷体" w:cs="楷体"/>
          <w:b/>
          <w:bCs/>
          <w:sz w:val="32"/>
          <w:szCs w:val="32"/>
          <w:shd w:val="clear" w:color="auto" w:fill="FFFFFF"/>
          <w:lang w:bidi="ar"/>
        </w:rPr>
        <w:t>（三）“三公”经费实物量情况</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hint="default" w:ascii="Cambria" w:hAnsi="Cambria" w:eastAsia="方正仿宋_GBK" w:cs="Cambria"/>
          <w:sz w:val="32"/>
          <w:szCs w:val="32"/>
          <w:shd w:val="clear" w:color="auto" w:fill="FFFFFF"/>
        </w:rPr>
        <w:t> </w:t>
      </w:r>
      <w:r>
        <w:rPr>
          <w:rFonts w:ascii="方正仿宋_GBK" w:hAnsi="方正仿宋_GBK" w:eastAsia="方正仿宋_GBK" w:cs="方正仿宋_GBK"/>
          <w:sz w:val="32"/>
          <w:szCs w:val="32"/>
          <w:shd w:val="clear" w:color="auto" w:fill="FFFFFF"/>
        </w:rPr>
        <w:t xml:space="preserve"> 2024年度本部门因公出国（境）共计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个团组，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人；公务用车购置</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辆，公务车保有量为</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辆；国内公务接待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人，其中：国内外事接待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人；国（境）外公务接待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人。2024年本部门人均接待费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元，车均购置费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万元，车均维护费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w:t>
      </w:r>
    </w:p>
    <w:p>
      <w:pPr>
        <w:pStyle w:val="6"/>
        <w:shd w:val="clear" w:color="auto" w:fill="FFFFFF"/>
        <w:spacing w:before="0" w:beforeAutospacing="0" w:after="0" w:afterAutospacing="0" w:line="596" w:lineRule="exact"/>
        <w:ind w:firstLine="643" w:firstLineChars="200"/>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四、其他需要说明的事项</w:t>
      </w: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 xml:space="preserve"> （一）财政拨款会议费和培训费情况说明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本年度会议费支出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万元，与2024年度相比，无增减，主要原因是</w:t>
      </w:r>
      <w:r>
        <w:rPr>
          <w:rFonts w:ascii="方正仿宋_GBK" w:eastAsia="方正仿宋_GBK"/>
          <w:color w:val="000000" w:themeColor="text1"/>
          <w:sz w:val="32"/>
          <w:szCs w:val="32"/>
        </w:rPr>
        <w:t>上年和本年均未发生会议费支出</w:t>
      </w:r>
      <w:r>
        <w:rPr>
          <w:rFonts w:ascii="方正仿宋_GBK" w:hAnsi="方正仿宋_GBK" w:eastAsia="方正仿宋_GBK" w:cs="方正仿宋_GBK"/>
          <w:sz w:val="32"/>
          <w:szCs w:val="32"/>
          <w:shd w:val="clear" w:color="auto" w:fill="FFFFFF"/>
        </w:rPr>
        <w:t>。本年度培训费支出</w:t>
      </w:r>
      <w:r>
        <w:rPr>
          <w:rFonts w:ascii="方正仿宋_GBK" w:hAnsi="方正仿宋_GBK" w:eastAsia="方正仿宋_GBK" w:cs="方正仿宋_GBK"/>
          <w:sz w:val="32"/>
          <w:szCs w:val="32"/>
        </w:rPr>
        <w:t>0.18</w:t>
      </w:r>
      <w:r>
        <w:rPr>
          <w:rFonts w:ascii="方正仿宋_GBK" w:hAnsi="方正仿宋_GBK" w:eastAsia="方正仿宋_GBK" w:cs="方正仿宋_GBK"/>
          <w:sz w:val="32"/>
          <w:szCs w:val="32"/>
          <w:shd w:val="clear" w:color="auto" w:fill="FFFFFF"/>
        </w:rPr>
        <w:t>万元，与2023年度相比，减少0.23万元，下降56.1%，主要原因是培训活动安排减少。</w:t>
      </w: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（二）机关运行经费情况说明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000000" w:themeColor="text1"/>
          <w:sz w:val="32"/>
          <w:szCs w:val="32"/>
        </w:rPr>
      </w:pPr>
      <w:r>
        <w:rPr>
          <w:rFonts w:ascii="方正仿宋_GBK" w:hAnsi="方正仿宋_GBK" w:eastAsia="方正仿宋_GBK" w:cs="方正仿宋_GBK"/>
          <w:color w:val="000000" w:themeColor="text1"/>
          <w:sz w:val="32"/>
          <w:szCs w:val="32"/>
          <w:shd w:val="clear" w:color="auto" w:fill="FFFFFF"/>
        </w:rPr>
        <w:t>2024年度本部门机关运行经费支出</w:t>
      </w:r>
      <w:r>
        <w:rPr>
          <w:rFonts w:ascii="方正仿宋_GBK" w:hAnsi="方正仿宋_GBK" w:eastAsia="方正仿宋_GBK" w:cs="方正仿宋_GBK"/>
          <w:color w:val="000000" w:themeColor="text1"/>
          <w:sz w:val="32"/>
          <w:szCs w:val="32"/>
        </w:rPr>
        <w:t>0.00</w:t>
      </w:r>
      <w:r>
        <w:rPr>
          <w:rFonts w:ascii="方正仿宋_GBK" w:hAnsi="方正仿宋_GBK" w:eastAsia="方正仿宋_GBK" w:cs="方正仿宋_GBK"/>
          <w:color w:val="000000" w:themeColor="text1"/>
          <w:sz w:val="32"/>
          <w:szCs w:val="32"/>
          <w:shd w:val="clear" w:color="auto" w:fill="FFFFFF"/>
        </w:rPr>
        <w:t>万元，机关运行经费较上年支出数无增减，主要原因是按照部门决算列报口径，我</w:t>
      </w:r>
      <w:r>
        <w:rPr>
          <w:rFonts w:ascii="方正仿宋_GBK" w:eastAsia="方正仿宋_GBK"/>
          <w:bCs/>
          <w:color w:val="000000" w:themeColor="text1"/>
          <w:sz w:val="32"/>
          <w:szCs w:val="32"/>
        </w:rPr>
        <w:t>单位不在机关运行经费统计范围之内。</w:t>
      </w: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（三）国有资产占用情况说明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截至2024年12月31日，本单位共有车辆</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辆，其中，副部（省）级及以上领导用车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辆、主要负责人用车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辆、机要通信用车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辆、应急保障用车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辆、执法执勤用车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辆，特种专业技术用车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辆，离退休干部用车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辆。单价100万元（含）以上专用设备</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台（套）。</w:t>
      </w: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（四）政府采购支出情况说明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000000" w:themeColor="text1"/>
          <w:sz w:val="32"/>
          <w:szCs w:val="32"/>
          <w:shd w:val="clear" w:color="auto" w:fill="FFFFFF"/>
        </w:rPr>
      </w:pPr>
      <w:r>
        <w:rPr>
          <w:rFonts w:ascii="方正仿宋_GBK" w:hAnsi="方正仿宋_GBK" w:eastAsia="方正仿宋_GBK" w:cs="方正仿宋_GBK"/>
          <w:sz w:val="32"/>
          <w:szCs w:val="32"/>
          <w:shd w:val="clear" w:color="auto" w:fill="FFFFFF"/>
        </w:rPr>
        <w:t>2024年度本单位政府采购支出总额</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万元，其中：政府采购货物支出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万元、政府采购工程支出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万元、政府采购服务支出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万元。授予中小企业合同金额</w:t>
      </w:r>
      <w:r>
        <w:rPr>
          <w:rFonts w:ascii="方正仿宋_GBK" w:hAnsi="方正仿宋_GBK" w:eastAsia="方正仿宋_GBK" w:cs="方正仿宋_GBK"/>
          <w:sz w:val="32"/>
          <w:szCs w:val="32"/>
        </w:rPr>
        <w:t>0.00万</w:t>
      </w:r>
      <w:r>
        <w:rPr>
          <w:rFonts w:ascii="方正仿宋_GBK" w:hAnsi="方正仿宋_GBK" w:eastAsia="方正仿宋_GBK" w:cs="方正仿宋_GBK"/>
          <w:sz w:val="32"/>
          <w:szCs w:val="32"/>
          <w:shd w:val="clear" w:color="auto" w:fill="FFFFFF"/>
        </w:rPr>
        <w:t>元，占政府采购支出总额的</w:t>
      </w:r>
      <w:r>
        <w:rPr>
          <w:rFonts w:ascii="方正仿宋_GBK" w:hAnsi="方正仿宋_GBK" w:eastAsia="方正仿宋_GBK" w:cs="方正仿宋_GBK"/>
          <w:sz w:val="32"/>
          <w:szCs w:val="32"/>
        </w:rPr>
        <w:t>0</w:t>
      </w:r>
      <w:r>
        <w:rPr>
          <w:rFonts w:hint="eastAsia" w:ascii="方正仿宋_GBK" w:hAnsi="方正仿宋_GBK" w:eastAsia="方正仿宋_GBK" w:cs="方正仿宋_GBK"/>
          <w:sz w:val="32"/>
          <w:szCs w:val="32"/>
          <w:lang w:val="en-US" w:eastAsia="zh-CN"/>
        </w:rPr>
        <w:t>.0</w:t>
      </w:r>
      <w:r>
        <w:rPr>
          <w:rFonts w:ascii="方正仿宋_GBK" w:hAnsi="方正仿宋_GBK" w:eastAsia="方正仿宋_GBK" w:cs="方正仿宋_GBK"/>
          <w:sz w:val="32"/>
          <w:szCs w:val="32"/>
          <w:shd w:val="clear" w:color="auto" w:fill="FFFFFF"/>
        </w:rPr>
        <w:t>%，其中：授予小微企业合同金额</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万元，占政府采购支出总额的</w:t>
      </w:r>
      <w:r>
        <w:rPr>
          <w:rFonts w:ascii="方正仿宋_GBK" w:hAnsi="方正仿宋_GBK" w:eastAsia="方正仿宋_GBK" w:cs="方正仿宋_GBK"/>
          <w:sz w:val="32"/>
          <w:szCs w:val="32"/>
        </w:rPr>
        <w:t>0</w:t>
      </w:r>
      <w:r>
        <w:rPr>
          <w:rFonts w:hint="eastAsia" w:ascii="方正仿宋_GBK" w:hAnsi="方正仿宋_GBK" w:eastAsia="方正仿宋_GBK" w:cs="方正仿宋_GBK"/>
          <w:sz w:val="32"/>
          <w:szCs w:val="32"/>
          <w:lang w:val="en-US" w:eastAsia="zh-CN"/>
        </w:rPr>
        <w:t>.0</w:t>
      </w:r>
      <w:r>
        <w:rPr>
          <w:rFonts w:ascii="方正仿宋_GBK" w:hAnsi="方正仿宋_GBK" w:eastAsia="方正仿宋_GBK" w:cs="方正仿宋_GBK"/>
          <w:sz w:val="32"/>
          <w:szCs w:val="32"/>
          <w:shd w:val="clear" w:color="auto" w:fill="FFFFFF"/>
        </w:rPr>
        <w:t xml:space="preserve"> %。</w:t>
      </w:r>
      <w:r>
        <w:rPr>
          <w:rFonts w:ascii="方正仿宋_GBK" w:hAnsi="方正仿宋_GBK" w:eastAsia="方正仿宋_GBK" w:cs="方正仿宋_GBK"/>
          <w:color w:val="000000" w:themeColor="text1"/>
          <w:sz w:val="32"/>
          <w:szCs w:val="32"/>
          <w:shd w:val="clear" w:color="auto" w:fill="FFFFFF"/>
        </w:rPr>
        <w:t>2024年度我单位未发生政府采购事项，无相关经费支出。</w:t>
      </w:r>
    </w:p>
    <w:p>
      <w:pPr>
        <w:pStyle w:val="12"/>
        <w:spacing w:before="0" w:beforeAutospacing="0" w:after="0" w:afterAutospacing="0" w:line="596" w:lineRule="exact"/>
        <w:ind w:firstLine="643" w:firstLineChars="200"/>
        <w:rPr>
          <w:rStyle w:val="10"/>
          <w:rFonts w:ascii="黑体" w:hAnsi="黑体" w:eastAsia="黑体" w:cs="黑体"/>
          <w:sz w:val="32"/>
          <w:szCs w:val="32"/>
          <w:shd w:val="clear" w:color="auto" w:fill="FFFFFF"/>
        </w:rPr>
      </w:pPr>
      <w:r>
        <w:rPr>
          <w:rStyle w:val="10"/>
          <w:rFonts w:hint="eastAsia" w:ascii="黑体" w:hAnsi="黑体" w:eastAsia="黑体" w:cs="黑体"/>
          <w:sz w:val="32"/>
          <w:szCs w:val="32"/>
          <w:shd w:val="clear" w:color="auto" w:fill="FFFFFF"/>
        </w:rPr>
        <w:t>五、2024年度预算绩效管理情况说明</w:t>
      </w:r>
    </w:p>
    <w:p>
      <w:pPr>
        <w:pStyle w:val="11"/>
        <w:autoSpaceDE w:val="0"/>
        <w:ind w:left="643" w:firstLine="0" w:firstLineChars="0"/>
        <w:rPr>
          <w:rFonts w:ascii="方正楷体_GBK" w:hAnsi="楷体" w:eastAsia="方正楷体_GBK" w:cs="楷体"/>
          <w:b/>
          <w:bCs/>
          <w:color w:val="000000" w:themeColor="text1"/>
          <w:sz w:val="32"/>
          <w:szCs w:val="32"/>
          <w:shd w:val="clear" w:color="auto" w:fill="FFFFFF"/>
          <w:lang w:bidi="ar"/>
        </w:rPr>
      </w:pPr>
      <w:r>
        <w:rPr>
          <w:rFonts w:hint="eastAsia" w:ascii="方正楷体_GBK" w:hAnsi="楷体" w:eastAsia="方正楷体_GBK" w:cs="楷体"/>
          <w:b/>
          <w:bCs/>
          <w:color w:val="000000" w:themeColor="text1"/>
          <w:sz w:val="32"/>
          <w:szCs w:val="32"/>
          <w:shd w:val="clear" w:color="auto" w:fill="FFFFFF"/>
          <w:lang w:bidi="ar"/>
        </w:rPr>
        <w:t>（一）单位自评情况</w:t>
      </w:r>
    </w:p>
    <w:p>
      <w:pPr>
        <w:pStyle w:val="11"/>
        <w:autoSpaceDE w:val="0"/>
        <w:rPr>
          <w:rFonts w:ascii="方正仿宋_GBK" w:hAnsi="方正仿宋_GBK" w:eastAsia="方正仿宋_GBK" w:cs="方正仿宋_GBK"/>
          <w:color w:val="000000" w:themeColor="text1"/>
          <w:sz w:val="32"/>
          <w:szCs w:val="32"/>
          <w:shd w:val="clear" w:color="auto" w:fill="FFFFFF"/>
        </w:rPr>
      </w:pPr>
      <w:r>
        <w:rPr>
          <w:rFonts w:hint="eastAsia" w:ascii="方正仿宋_GBK" w:hAnsi="方正仿宋_GBK" w:eastAsia="方正仿宋_GBK" w:cs="方正仿宋_GBK"/>
          <w:color w:val="000000" w:themeColor="text1"/>
          <w:sz w:val="32"/>
          <w:szCs w:val="32"/>
          <w:shd w:val="clear" w:color="auto" w:fill="FFFFFF"/>
        </w:rPr>
        <w:t>根据预算绩效管理要求，我单位对1个二级项目开展了绩效自评，涉及财政拨款项目支出资金35.60万元。</w:t>
      </w:r>
      <w:r>
        <w:drawing>
          <wp:inline distT="0" distB="0" distL="0" distR="0">
            <wp:extent cx="5280025" cy="294449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5280025" cy="2945005"/>
                    </a:xfrm>
                    <a:prstGeom prst="rect">
                      <a:avLst/>
                    </a:prstGeom>
                    <a:noFill/>
                    <a:ln>
                      <a:noFill/>
                    </a:ln>
                  </pic:spPr>
                </pic:pic>
              </a:graphicData>
            </a:graphic>
          </wp:inline>
        </w:drawing>
      </w:r>
    </w:p>
    <w:p>
      <w:pPr>
        <w:pStyle w:val="11"/>
        <w:autoSpaceDE w:val="0"/>
        <w:ind w:firstLine="640"/>
        <w:rPr>
          <w:rFonts w:ascii="方正楷体_GBK" w:hAnsi="楷体" w:eastAsia="方正楷体_GBK" w:cs="楷体"/>
          <w:b/>
          <w:bCs/>
          <w:color w:val="000000" w:themeColor="text1"/>
          <w:sz w:val="32"/>
          <w:szCs w:val="32"/>
          <w:shd w:val="clear" w:color="auto" w:fill="FFFFFF"/>
          <w:lang w:bidi="ar"/>
        </w:rPr>
      </w:pPr>
      <w:r>
        <w:rPr>
          <w:rFonts w:hint="eastAsia" w:ascii="方正楷体_GBK" w:hAnsi="楷体" w:eastAsia="方正楷体_GBK" w:cs="楷体"/>
          <w:b/>
          <w:bCs/>
          <w:color w:val="000000" w:themeColor="text1"/>
          <w:sz w:val="32"/>
          <w:szCs w:val="32"/>
          <w:shd w:val="clear" w:color="auto" w:fill="FFFFFF"/>
          <w:lang w:bidi="ar"/>
        </w:rPr>
        <w:t>（二）单位绩效评价情况</w:t>
      </w:r>
    </w:p>
    <w:p>
      <w:pPr>
        <w:pStyle w:val="11"/>
        <w:autoSpaceDE w:val="0"/>
        <w:ind w:firstLine="640"/>
        <w:rPr>
          <w:rFonts w:ascii="方正仿宋_GBK" w:hAnsi="方正仿宋_GBK" w:eastAsia="方正仿宋_GBK" w:cs="方正仿宋_GBK"/>
          <w:color w:val="000000" w:themeColor="text1"/>
          <w:sz w:val="32"/>
          <w:szCs w:val="32"/>
          <w:shd w:val="clear" w:color="auto" w:fill="FFFFFF"/>
        </w:rPr>
      </w:pPr>
      <w:r>
        <w:rPr>
          <w:rFonts w:ascii="方正仿宋_GBK" w:hAnsi="方正仿宋_GBK" w:eastAsia="方正仿宋_GBK" w:cs="方正仿宋_GBK"/>
          <w:color w:val="000000" w:themeColor="text1"/>
          <w:sz w:val="32"/>
          <w:szCs w:val="32"/>
          <w:shd w:val="clear" w:color="auto" w:fill="FFFFFF"/>
        </w:rPr>
        <w:t>我单位未组织开展绩效评价。</w:t>
      </w:r>
    </w:p>
    <w:p>
      <w:pPr>
        <w:pStyle w:val="11"/>
        <w:autoSpaceDE w:val="0"/>
        <w:ind w:firstLine="640"/>
        <w:rPr>
          <w:rFonts w:ascii="方正楷体_GBK" w:hAnsi="楷体" w:eastAsia="方正楷体_GBK" w:cs="楷体"/>
          <w:b/>
          <w:bCs/>
          <w:color w:val="000000" w:themeColor="text1"/>
          <w:sz w:val="32"/>
          <w:szCs w:val="32"/>
          <w:shd w:val="clear" w:color="auto" w:fill="FFFFFF"/>
          <w:lang w:bidi="ar"/>
        </w:rPr>
      </w:pPr>
      <w:r>
        <w:rPr>
          <w:rFonts w:hint="eastAsia" w:ascii="方正楷体_GBK" w:hAnsi="楷体" w:eastAsia="方正楷体_GBK" w:cs="楷体"/>
          <w:b/>
          <w:bCs/>
          <w:color w:val="000000" w:themeColor="text1"/>
          <w:sz w:val="32"/>
          <w:szCs w:val="32"/>
          <w:shd w:val="clear" w:color="auto" w:fill="FFFFFF"/>
          <w:lang w:bidi="ar"/>
        </w:rPr>
        <w:t>（三）财政绩效评价情况</w:t>
      </w:r>
    </w:p>
    <w:p>
      <w:pPr>
        <w:pStyle w:val="11"/>
        <w:autoSpaceDE w:val="0"/>
        <w:ind w:firstLine="640"/>
        <w:rPr>
          <w:rFonts w:ascii="方正仿宋_GBK" w:hAnsi="方正仿宋_GBK" w:eastAsia="方正仿宋_GBK" w:cs="方正仿宋_GBK"/>
          <w:color w:val="000000" w:themeColor="text1"/>
          <w:sz w:val="32"/>
          <w:szCs w:val="32"/>
          <w:shd w:val="clear" w:color="auto" w:fill="FFFFFF"/>
        </w:rPr>
      </w:pPr>
      <w:r>
        <w:rPr>
          <w:rFonts w:hint="eastAsia" w:ascii="方正仿宋_GBK" w:hAnsi="方正仿宋_GBK" w:eastAsia="方正仿宋_GBK" w:cs="方正仿宋_GBK"/>
          <w:color w:val="000000" w:themeColor="text1"/>
          <w:sz w:val="32"/>
          <w:szCs w:val="32"/>
          <w:shd w:val="clear" w:color="auto" w:fill="FFFFFF"/>
        </w:rPr>
        <w:t>县财政局未委托第三方对我单位开展绩效评价。</w:t>
      </w:r>
    </w:p>
    <w:p>
      <w:pPr>
        <w:pStyle w:val="12"/>
        <w:autoSpaceDE w:val="0"/>
        <w:spacing w:before="0" w:beforeAutospacing="0" w:after="0" w:afterAutospacing="0" w:line="596" w:lineRule="exact"/>
        <w:rPr>
          <w:rFonts w:ascii="方正仿宋_GBK" w:hAnsi="方正仿宋_GBK" w:eastAsia="方正仿宋_GBK" w:cs="方正仿宋_GBK"/>
          <w:sz w:val="32"/>
          <w:szCs w:val="32"/>
        </w:rPr>
      </w:pPr>
      <w:r>
        <w:rPr>
          <w:rStyle w:val="13"/>
          <w:rFonts w:hint="eastAsia" w:ascii="方正仿宋_GBK" w:hAnsi="方正仿宋_GBK" w:eastAsia="方正仿宋_GBK" w:cs="方正仿宋_GBK"/>
          <w:sz w:val="32"/>
          <w:szCs w:val="32"/>
          <w:shd w:val="clear" w:color="auto" w:fill="FFFFFF"/>
        </w:rPr>
        <w:t xml:space="preserve">   </w:t>
      </w:r>
      <w:r>
        <w:rPr>
          <w:rStyle w:val="10"/>
          <w:rFonts w:hint="eastAsia" w:ascii="黑体" w:hAnsi="黑体" w:eastAsia="黑体" w:cs="黑体"/>
          <w:sz w:val="32"/>
          <w:szCs w:val="32"/>
          <w:shd w:val="clear" w:color="auto" w:fill="FFFFFF"/>
        </w:rPr>
        <w:t xml:space="preserve"> 六、专业名词解释</w:t>
      </w:r>
    </w:p>
    <w:p>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（一）财政拨款收入：</w:t>
      </w:r>
      <w:r>
        <w:rPr>
          <w:rFonts w:hint="eastAsia" w:ascii="方正仿宋_GBK" w:hAnsi="方正仿宋_GBK" w:eastAsia="方正仿宋_GBK" w:cs="方正仿宋_GBK"/>
          <w:sz w:val="32"/>
          <w:szCs w:val="32"/>
          <w:shd w:val="clear" w:color="auto" w:fill="FFFFFF"/>
        </w:rPr>
        <w:t>指本年度从本级财政部门取得的财政拨款，包括一般公共预算财政拨款和政府性基金预算财政拨款。</w:t>
      </w:r>
    </w:p>
    <w:p>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（二）事业收入：</w:t>
      </w:r>
      <w:r>
        <w:rPr>
          <w:rFonts w:hint="eastAsia" w:ascii="方正仿宋_GBK" w:hAnsi="方正仿宋_GBK" w:eastAsia="方正仿宋_GBK" w:cs="方正仿宋_GBK"/>
          <w:sz w:val="32"/>
          <w:szCs w:val="32"/>
          <w:shd w:val="clear" w:color="auto" w:fill="FFFFFF"/>
        </w:rPr>
        <w:t>指事业单位开展专业业务活动及其辅助活动取得的现金流入；事业单位收到的财政专户实际核拨的教育收费等资金在此反映。</w:t>
      </w:r>
    </w:p>
    <w:p>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（三）经营收入：</w:t>
      </w:r>
      <w:r>
        <w:rPr>
          <w:rFonts w:hint="eastAsia" w:ascii="方正仿宋_GBK" w:hAnsi="方正仿宋_GBK" w:eastAsia="方正仿宋_GBK" w:cs="方正仿宋_GBK"/>
          <w:sz w:val="32"/>
          <w:szCs w:val="32"/>
          <w:shd w:val="clear" w:color="auto" w:fill="FFFFFF"/>
        </w:rPr>
        <w:t>指事业单位在专业业务活动及其辅助活动之外开展非独立核算经营活动取得的现金流入。</w:t>
      </w:r>
    </w:p>
    <w:p>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（四）其他收入：</w:t>
      </w:r>
      <w:r>
        <w:rPr>
          <w:rFonts w:hint="eastAsia" w:ascii="方正仿宋_GBK" w:hAnsi="方正仿宋_GBK" w:eastAsia="方正仿宋_GBK" w:cs="方正仿宋_GBK"/>
          <w:sz w:val="32"/>
          <w:szCs w:val="32"/>
          <w:shd w:val="clear" w:color="auto" w:fill="FFFFFF"/>
        </w:rPr>
        <w:t>指单位取得的除“财政拨款收入”</w:t>
      </w:r>
      <w:bookmarkStart w:id="0" w:name="_GoBack"/>
      <w:bookmarkEnd w:id="0"/>
      <w:r>
        <w:rPr>
          <w:rFonts w:hint="eastAsia" w:ascii="方正仿宋_GBK" w:hAnsi="方正仿宋_GBK" w:eastAsia="方正仿宋_GBK" w:cs="方正仿宋_GBK"/>
          <w:sz w:val="32"/>
          <w:szCs w:val="32"/>
          <w:shd w:val="clear" w:color="auto" w:fill="FFFFFF"/>
        </w:rPr>
        <w:t>“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（五）使用非财政拨款结余：</w:t>
      </w:r>
      <w:r>
        <w:rPr>
          <w:rFonts w:hint="eastAsia" w:ascii="方正仿宋_GBK" w:hAnsi="方正仿宋_GBK" w:eastAsia="方正仿宋_GBK" w:cs="方正仿宋_GBK"/>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（六）年初结转和结余：</w:t>
      </w:r>
      <w:r>
        <w:rPr>
          <w:rFonts w:hint="eastAsia" w:ascii="方正仿宋_GBK" w:hAnsi="方正仿宋_GBK" w:eastAsia="方正仿宋_GBK" w:cs="方正仿宋_GBK"/>
          <w:sz w:val="32"/>
          <w:szCs w:val="32"/>
          <w:shd w:val="clear" w:color="auto" w:fill="FFFFFF"/>
        </w:rPr>
        <w:t>指单位上年结转本年使用的基本支出结转、项目支出结转和结余、经营结余。</w:t>
      </w:r>
    </w:p>
    <w:p>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（七）结余分配：</w:t>
      </w:r>
      <w:r>
        <w:rPr>
          <w:rFonts w:hint="eastAsia" w:ascii="方正仿宋_GBK" w:hAnsi="方正仿宋_GBK" w:eastAsia="方正仿宋_GBK" w:cs="方正仿宋_GBK"/>
          <w:sz w:val="32"/>
          <w:szCs w:val="32"/>
          <w:shd w:val="clear" w:color="auto" w:fill="FFFFFF"/>
        </w:rPr>
        <w:t>指单位按照国家有关规定，缴纳所得税、提取专用基金、转入非财政拨款结余等当年结余的分配情况。</w:t>
      </w:r>
    </w:p>
    <w:p>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（八）年末结转和结余：</w:t>
      </w:r>
      <w:r>
        <w:rPr>
          <w:rFonts w:hint="eastAsia" w:ascii="方正仿宋_GBK" w:hAnsi="方正仿宋_GBK" w:eastAsia="方正仿宋_GBK" w:cs="方正仿宋_GBK"/>
          <w:sz w:val="32"/>
          <w:szCs w:val="32"/>
          <w:shd w:val="clear" w:color="auto" w:fill="FFFFFF"/>
        </w:rPr>
        <w:t>指单位结转下年的基本支出结转、项目支出结转和结余、经营结余。</w:t>
      </w:r>
    </w:p>
    <w:p>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（九）基本支出：</w:t>
      </w:r>
      <w:r>
        <w:rPr>
          <w:rFonts w:hint="eastAsia" w:ascii="方正仿宋_GBK" w:hAnsi="方正仿宋_GBK"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（十）项目支出：</w:t>
      </w:r>
      <w:r>
        <w:rPr>
          <w:rFonts w:hint="eastAsia" w:ascii="方正仿宋_GBK" w:hAnsi="方正仿宋_GBK" w:eastAsia="方正仿宋_GBK" w:cs="方正仿宋_GBK"/>
          <w:sz w:val="32"/>
          <w:szCs w:val="32"/>
          <w:shd w:val="clear" w:color="auto" w:fill="FFFFFF"/>
        </w:rPr>
        <w:t>指在基本支出之外为完成特定行政任务和事业发展目标所发生的支出。</w:t>
      </w:r>
    </w:p>
    <w:p>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（十一）经营支出：</w:t>
      </w:r>
      <w:r>
        <w:rPr>
          <w:rFonts w:hint="eastAsia" w:ascii="方正仿宋_GBK" w:hAnsi="方正仿宋_GBK" w:eastAsia="方正仿宋_GBK" w:cs="方正仿宋_GBK"/>
          <w:sz w:val="32"/>
          <w:szCs w:val="32"/>
          <w:shd w:val="clear" w:color="auto" w:fill="FFFFFF"/>
        </w:rPr>
        <w:t>指事业单位在专业业务活动及其辅助活动之外开展非独立核算经营活动发生的支出。</w:t>
      </w:r>
    </w:p>
    <w:p>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（十二）“三公”经费：</w:t>
      </w:r>
      <w:r>
        <w:rPr>
          <w:rFonts w:hint="eastAsia" w:ascii="方正仿宋_GBK" w:hAnsi="方正仿宋_GBK" w:eastAsia="方正仿宋_GBK" w:cs="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（十三）机关运行经费：</w:t>
      </w:r>
      <w:r>
        <w:rPr>
          <w:rFonts w:hint="eastAsia" w:ascii="方正仿宋_GBK" w:hAnsi="方正仿宋_GBK"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（十四）工资福利支出（支出经济分类科目类级）：</w:t>
      </w:r>
      <w:r>
        <w:rPr>
          <w:rFonts w:hint="eastAsia" w:ascii="方正仿宋_GBK" w:hAnsi="方正仿宋_GBK" w:eastAsia="方正仿宋_GBK" w:cs="方正仿宋_GBK"/>
          <w:sz w:val="32"/>
          <w:szCs w:val="32"/>
          <w:shd w:val="clear" w:color="auto" w:fill="FFFFFF"/>
        </w:rPr>
        <w:t>反映单位开支的在职职工和编制外长期聘用人员的各类劳动报酬，以及为上述人员缴纳的各项社会保险费等。</w:t>
      </w:r>
    </w:p>
    <w:p>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（十五）商品和服务支出（支出经济分类科目类级）：</w:t>
      </w:r>
      <w:r>
        <w:rPr>
          <w:rFonts w:hint="eastAsia" w:ascii="方正仿宋_GBK" w:hAnsi="方正仿宋_GBK" w:eastAsia="方正仿宋_GBK" w:cs="方正仿宋_GBK"/>
          <w:sz w:val="32"/>
          <w:szCs w:val="32"/>
          <w:shd w:val="clear" w:color="auto" w:fill="FFFFFF"/>
        </w:rPr>
        <w:t>反映单位购买商品和服务的支出（不包括用于购置固定资产的支出、战略性和应急储备支出）。</w:t>
      </w:r>
    </w:p>
    <w:p>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（十六）对个人和家庭的补助（支出经济分类科目类级）：</w:t>
      </w:r>
      <w:r>
        <w:rPr>
          <w:rFonts w:hint="eastAsia" w:ascii="方正仿宋_GBK" w:hAnsi="方正仿宋_GBK" w:eastAsia="方正仿宋_GBK" w:cs="方正仿宋_GBK"/>
          <w:sz w:val="32"/>
          <w:szCs w:val="32"/>
          <w:shd w:val="clear" w:color="auto" w:fill="FFFFFF"/>
        </w:rPr>
        <w:t>反映用于对个人和家庭的补助支出。</w:t>
      </w:r>
    </w:p>
    <w:p>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（十七）其他资本性支出（支出经济分类科目类级）：</w:t>
      </w:r>
      <w:r>
        <w:rPr>
          <w:rFonts w:hint="eastAsia" w:ascii="方正仿宋_GBK" w:hAnsi="方正仿宋_GBK" w:eastAsia="方正仿宋_GBK" w:cs="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黑体" w:hAnsi="黑体" w:eastAsia="黑体" w:cs="黑体"/>
          <w:sz w:val="32"/>
          <w:szCs w:val="32"/>
          <w:shd w:val="clear" w:color="auto" w:fill="FFFFFF"/>
        </w:rPr>
        <w:t>七、决算公开联系方式及信息反馈渠道</w:t>
      </w:r>
    </w:p>
    <w:p>
      <w:pPr>
        <w:pStyle w:val="12"/>
        <w:spacing w:before="0" w:beforeAutospacing="0" w:after="0" w:afterAutospacing="0" w:line="596" w:lineRule="exact"/>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本单位决算公开信息反馈和联系方式：</w:t>
      </w:r>
    </w:p>
    <w:p>
      <w:pPr>
        <w:pStyle w:val="12"/>
        <w:spacing w:before="0" w:beforeAutospacing="0" w:after="0" w:afterAutospacing="0" w:line="596" w:lineRule="exact"/>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王老师  023-74512214</w:t>
      </w:r>
    </w:p>
    <w:p>
      <w:pPr>
        <w:pStyle w:val="11"/>
        <w:autoSpaceDE w:val="0"/>
        <w:spacing w:line="596" w:lineRule="exact"/>
        <w:ind w:firstLine="640"/>
        <w:jc w:val="both"/>
        <w:rPr>
          <w:rStyle w:val="10"/>
          <w:rFonts w:ascii="方正仿宋_GBK" w:hAnsi="方正仿宋_GBK" w:eastAsia="方正仿宋_GBK" w:cs="方正仿宋_GBK"/>
          <w:sz w:val="32"/>
          <w:szCs w:val="32"/>
          <w:shd w:val="clear" w:color="auto" w:fill="FFFF00"/>
        </w:rPr>
        <w:sectPr>
          <w:footerReference r:id="rId3" w:type="default"/>
          <w:pgSz w:w="11915" w:h="16840"/>
          <w:pgMar w:top="1440" w:right="1800" w:bottom="1440" w:left="1800" w:header="851" w:footer="992" w:gutter="0"/>
          <w:pgNumType w:fmt="numberInDash"/>
          <w:cols w:space="720" w:num="1"/>
          <w:docGrid w:type="lines" w:linePitch="312" w:charSpace="0"/>
        </w:sectPr>
      </w:pPr>
    </w:p>
    <w:tbl>
      <w:tblPr>
        <w:tblStyle w:val="7"/>
        <w:tblpPr w:leftFromText="180" w:rightFromText="180" w:vertAnchor="text" w:horzAnchor="page" w:tblpX="1058" w:tblpY="22"/>
        <w:tblOverlap w:val="never"/>
        <w:tblW w:w="14737" w:type="dxa"/>
        <w:tblInd w:w="0" w:type="dxa"/>
        <w:tblLayout w:type="fixed"/>
        <w:tblCellMar>
          <w:top w:w="0" w:type="dxa"/>
          <w:left w:w="0" w:type="dxa"/>
          <w:bottom w:w="0" w:type="dxa"/>
          <w:right w:w="0" w:type="dxa"/>
        </w:tblCellMar>
      </w:tblPr>
      <w:tblGrid>
        <w:gridCol w:w="4294"/>
        <w:gridCol w:w="3558"/>
        <w:gridCol w:w="4044"/>
        <w:gridCol w:w="2841"/>
      </w:tblGrid>
      <w:tr>
        <w:tblPrEx>
          <w:tblLayout w:type="fixed"/>
          <w:tblCellMar>
            <w:top w:w="0" w:type="dxa"/>
            <w:left w:w="0" w:type="dxa"/>
            <w:bottom w:w="0" w:type="dxa"/>
            <w:right w:w="0" w:type="dxa"/>
          </w:tblCellMar>
        </w:tblPrEx>
        <w:trPr>
          <w:trHeight w:val="232" w:hRule="atLeast"/>
        </w:trPr>
        <w:tc>
          <w:tcPr>
            <w:tcW w:w="14737" w:type="dxa"/>
            <w:gridSpan w:val="4"/>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tblPrEx>
          <w:tblLayout w:type="fixed"/>
          <w:tblCellMar>
            <w:top w:w="0" w:type="dxa"/>
            <w:left w:w="0" w:type="dxa"/>
            <w:bottom w:w="0" w:type="dxa"/>
            <w:right w:w="0" w:type="dxa"/>
          </w:tblCellMar>
        </w:tblPrEx>
        <w:trPr>
          <w:trHeight w:val="232" w:hRule="atLeast"/>
        </w:trPr>
        <w:tc>
          <w:tcPr>
            <w:tcW w:w="42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3558" w:type="dxa"/>
            <w:tcBorders>
              <w:top w:val="nil"/>
              <w:left w:val="nil"/>
              <w:bottom w:val="nil"/>
              <w:right w:val="nil"/>
            </w:tcBorders>
            <w:shd w:val="clear" w:color="auto" w:fill="auto"/>
            <w:noWrap/>
            <w:tcMar>
              <w:top w:w="15" w:type="dxa"/>
              <w:left w:w="15" w:type="dxa"/>
              <w:right w:w="15" w:type="dxa"/>
            </w:tcMar>
            <w:vAlign w:val="bottom"/>
          </w:tcPr>
          <w:p>
            <w:pPr>
              <w:spacing w:line="200" w:lineRule="exact"/>
              <w:jc w:val="right"/>
              <w:rPr>
                <w:rFonts w:hint="default" w:ascii="Arial" w:hAnsi="Arial" w:cs="Arial"/>
                <w:color w:val="000000"/>
                <w:sz w:val="20"/>
                <w:szCs w:val="20"/>
              </w:rPr>
            </w:pPr>
          </w:p>
        </w:tc>
        <w:tc>
          <w:tcPr>
            <w:tcW w:w="404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2841"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01</w:t>
            </w:r>
            <w:r>
              <w:rPr>
                <w:rFonts w:cs="宋体"/>
                <w:color w:val="000000"/>
                <w:sz w:val="20"/>
                <w:szCs w:val="20"/>
              </w:rPr>
              <w:t>表</w:t>
            </w:r>
          </w:p>
        </w:tc>
      </w:tr>
      <w:tr>
        <w:tblPrEx>
          <w:tblLayout w:type="fixed"/>
          <w:tblCellMar>
            <w:top w:w="0" w:type="dxa"/>
            <w:left w:w="0" w:type="dxa"/>
            <w:bottom w:w="0" w:type="dxa"/>
            <w:right w:w="0" w:type="dxa"/>
          </w:tblCellMar>
        </w:tblPrEx>
        <w:trPr>
          <w:trHeight w:val="232" w:hRule="atLeast"/>
        </w:trPr>
        <w:tc>
          <w:tcPr>
            <w:tcW w:w="7852" w:type="dxa"/>
            <w:gridSpan w:val="2"/>
            <w:tcBorders>
              <w:top w:val="nil"/>
              <w:left w:val="nil"/>
              <w:bottom w:val="nil"/>
              <w:right w:val="nil"/>
            </w:tcBorders>
            <w:shd w:val="clear" w:color="auto" w:fill="auto"/>
            <w:noWrap/>
            <w:tcMar>
              <w:top w:w="15" w:type="dxa"/>
              <w:left w:w="15" w:type="dxa"/>
              <w:right w:w="15" w:type="dxa"/>
            </w:tcMar>
            <w:vAlign w:val="bottom"/>
          </w:tcPr>
          <w:p>
            <w:pPr>
              <w:spacing w:line="280" w:lineRule="exact"/>
              <w:rPr>
                <w:rFonts w:hint="default" w:ascii="Arial" w:hAnsi="Arial" w:cs="Arial"/>
                <w:color w:val="000000"/>
                <w:sz w:val="22"/>
                <w:szCs w:val="22"/>
              </w:rPr>
            </w:pPr>
            <w:r>
              <w:rPr>
                <w:rFonts w:cs="宋体"/>
                <w:sz w:val="20"/>
                <w:szCs w:val="20"/>
              </w:rPr>
              <w:t>单位：</w:t>
            </w:r>
            <w:r>
              <w:rPr>
                <w:sz w:val="20"/>
              </w:rPr>
              <w:t>垫江县基础教育质量监测中心</w:t>
            </w:r>
          </w:p>
        </w:tc>
        <w:tc>
          <w:tcPr>
            <w:tcW w:w="404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2"/>
                <w:szCs w:val="22"/>
              </w:rPr>
            </w:pPr>
          </w:p>
        </w:tc>
        <w:tc>
          <w:tcPr>
            <w:tcW w:w="2841"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243" w:hRule="atLeast"/>
        </w:trPr>
        <w:tc>
          <w:tcPr>
            <w:tcW w:w="785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6885" w:type="dxa"/>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支出</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145.63</w:t>
            </w: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121.31</w:t>
            </w: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236.31</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3558" w:type="dxa"/>
            <w:tcBorders>
              <w:top w:val="nil"/>
              <w:left w:val="nil"/>
              <w:bottom w:val="nil"/>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21.27</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3.28</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90"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3.93</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266.94</w:t>
            </w: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264.79</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使用非财政拨款结余和专用结余</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2.15</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2841"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5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266.94</w:t>
            </w:r>
            <w:r>
              <w:rPr>
                <w:rFonts w:ascii="Times New Roman" w:hAnsi="Times New Roman"/>
                <w:color w:val="000000"/>
                <w:sz w:val="20"/>
              </w:rPr>
              <w:t xml:space="preserve"> </w:t>
            </w:r>
          </w:p>
        </w:tc>
        <w:tc>
          <w:tcPr>
            <w:tcW w:w="4044" w:type="dxa"/>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284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266.94</w:t>
            </w:r>
            <w:r>
              <w:rPr>
                <w:rFonts w:ascii="Times New Roman" w:hAnsi="Times New Roman"/>
                <w:color w:val="000000"/>
                <w:sz w:val="20"/>
              </w:rPr>
              <w:t xml:space="preserve"> </w:t>
            </w:r>
          </w:p>
        </w:tc>
      </w:tr>
    </w:tbl>
    <w:p>
      <w:pPr>
        <w:rPr>
          <w:rFonts w:hint="default" w:cs="宋体"/>
          <w:sz w:val="21"/>
          <w:szCs w:val="21"/>
        </w:rPr>
      </w:pPr>
    </w:p>
    <w:p>
      <w:pPr>
        <w:spacing w:line="240" w:lineRule="exact"/>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7"/>
        <w:tblW w:w="15503" w:type="dxa"/>
        <w:tblInd w:w="0" w:type="dxa"/>
        <w:tblLayout w:type="fixed"/>
        <w:tblCellMar>
          <w:top w:w="0" w:type="dxa"/>
          <w:left w:w="0" w:type="dxa"/>
          <w:bottom w:w="0" w:type="dxa"/>
          <w:right w:w="0" w:type="dxa"/>
        </w:tblCellMar>
      </w:tblPr>
      <w:tblGrid>
        <w:gridCol w:w="1429"/>
        <w:gridCol w:w="2918"/>
        <w:gridCol w:w="1581"/>
        <w:gridCol w:w="1448"/>
        <w:gridCol w:w="1256"/>
        <w:gridCol w:w="1436"/>
        <w:gridCol w:w="1460"/>
        <w:gridCol w:w="1293"/>
        <w:gridCol w:w="1349"/>
        <w:gridCol w:w="1333"/>
      </w:tblGrid>
      <w:tr>
        <w:tblPrEx>
          <w:tblLayout w:type="fixed"/>
          <w:tblCellMar>
            <w:top w:w="0" w:type="dxa"/>
            <w:left w:w="0" w:type="dxa"/>
            <w:bottom w:w="0" w:type="dxa"/>
            <w:right w:w="0" w:type="dxa"/>
          </w:tblCellMar>
        </w:tblPrEx>
        <w:trPr>
          <w:trHeight w:val="641" w:hRule="atLeast"/>
        </w:trPr>
        <w:tc>
          <w:tcPr>
            <w:tcW w:w="15503" w:type="dxa"/>
            <w:gridSpan w:val="10"/>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收入决算表</w:t>
            </w:r>
          </w:p>
        </w:tc>
      </w:tr>
      <w:tr>
        <w:tblPrEx>
          <w:tblLayout w:type="fixed"/>
          <w:tblCellMar>
            <w:top w:w="0" w:type="dxa"/>
            <w:left w:w="0" w:type="dxa"/>
            <w:bottom w:w="0" w:type="dxa"/>
            <w:right w:w="0" w:type="dxa"/>
          </w:tblCellMar>
        </w:tblPrEx>
        <w:trPr>
          <w:trHeight w:val="328" w:hRule="atLeast"/>
        </w:trPr>
        <w:tc>
          <w:tcPr>
            <w:tcW w:w="5928" w:type="dxa"/>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color w:val="000000"/>
                <w:sz w:val="20"/>
                <w:szCs w:val="20"/>
              </w:rPr>
            </w:pPr>
            <w:r>
              <w:rPr>
                <w:rFonts w:cs="宋体"/>
                <w:sz w:val="20"/>
                <w:szCs w:val="20"/>
              </w:rPr>
              <w:t>单位：</w:t>
            </w:r>
            <w:r>
              <w:rPr>
                <w:sz w:val="20"/>
              </w:rPr>
              <w:t>垫江县基础教育质量监测中心</w:t>
            </w:r>
          </w:p>
        </w:tc>
        <w:tc>
          <w:tcPr>
            <w:tcW w:w="1448"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56"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436"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460"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93"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49"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33"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02</w:t>
            </w:r>
            <w:r>
              <w:rPr>
                <w:rFonts w:cs="宋体"/>
                <w:color w:val="000000"/>
                <w:sz w:val="20"/>
                <w:szCs w:val="20"/>
              </w:rPr>
              <w:t>表</w:t>
            </w:r>
          </w:p>
        </w:tc>
      </w:tr>
      <w:tr>
        <w:tblPrEx>
          <w:tblLayout w:type="fixed"/>
          <w:tblCellMar>
            <w:top w:w="0" w:type="dxa"/>
            <w:left w:w="0" w:type="dxa"/>
            <w:bottom w:w="0" w:type="dxa"/>
            <w:right w:w="0" w:type="dxa"/>
          </w:tblCellMar>
        </w:tblPrEx>
        <w:trPr>
          <w:trHeight w:val="328" w:hRule="atLeast"/>
        </w:trPr>
        <w:tc>
          <w:tcPr>
            <w:tcW w:w="5928"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448"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56"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436"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460"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93"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49"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33"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431" w:hRule="atLeast"/>
        </w:trPr>
        <w:tc>
          <w:tcPr>
            <w:tcW w:w="4347"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58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本年收入合计</w:t>
            </w:r>
          </w:p>
        </w:tc>
        <w:tc>
          <w:tcPr>
            <w:tcW w:w="144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财政拨款收入</w:t>
            </w:r>
          </w:p>
        </w:tc>
        <w:tc>
          <w:tcPr>
            <w:tcW w:w="125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上级补助收入</w:t>
            </w:r>
          </w:p>
        </w:tc>
        <w:tc>
          <w:tcPr>
            <w:tcW w:w="289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事业收入</w:t>
            </w:r>
          </w:p>
        </w:tc>
        <w:tc>
          <w:tcPr>
            <w:tcW w:w="129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经营收入</w:t>
            </w:r>
          </w:p>
        </w:tc>
        <w:tc>
          <w:tcPr>
            <w:tcW w:w="134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附属单位上缴收入</w:t>
            </w:r>
          </w:p>
        </w:tc>
        <w:tc>
          <w:tcPr>
            <w:tcW w:w="133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其他收入</w:t>
            </w:r>
          </w:p>
        </w:tc>
      </w:tr>
      <w:tr>
        <w:tblPrEx>
          <w:tblLayout w:type="fixed"/>
          <w:tblCellMar>
            <w:top w:w="0" w:type="dxa"/>
            <w:left w:w="0" w:type="dxa"/>
            <w:bottom w:w="0" w:type="dxa"/>
            <w:right w:w="0" w:type="dxa"/>
          </w:tblCellMar>
        </w:tblPrEx>
        <w:trPr>
          <w:trHeight w:val="334" w:hRule="atLeast"/>
        </w:trPr>
        <w:tc>
          <w:tcPr>
            <w:tcW w:w="1429"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2918"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小计</w:t>
            </w:r>
          </w:p>
        </w:tc>
        <w:tc>
          <w:tcPr>
            <w:tcW w:w="146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其中：教育收费</w:t>
            </w: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429"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2918"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429"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2918"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429"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2918"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434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58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266.94</w:t>
            </w:r>
            <w:r>
              <w:rPr>
                <w:rFonts w:ascii="Times New Roman" w:hAnsi="Times New Roman"/>
                <w:b/>
                <w:color w:val="000000"/>
                <w:sz w:val="20"/>
              </w:rPr>
              <w:t xml:space="preserve"> </w:t>
            </w:r>
          </w:p>
        </w:tc>
        <w:tc>
          <w:tcPr>
            <w:tcW w:w="14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145.63</w:t>
            </w:r>
            <w:r>
              <w:rPr>
                <w:rFonts w:ascii="Times New Roman" w:hAnsi="Times New Roman"/>
                <w:b/>
                <w:color w:val="000000"/>
                <w:sz w:val="20"/>
              </w:rPr>
              <w:t xml:space="preserve"> </w:t>
            </w:r>
          </w:p>
        </w:tc>
        <w:tc>
          <w:tcPr>
            <w:tcW w:w="125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4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121.31</w:t>
            </w:r>
            <w:r>
              <w:rPr>
                <w:rFonts w:ascii="Times New Roman" w:hAnsi="Times New Roman"/>
                <w:b/>
                <w:color w:val="000000"/>
                <w:sz w:val="20"/>
              </w:rPr>
              <w:t xml:space="preserve"> </w:t>
            </w:r>
          </w:p>
        </w:tc>
        <w:tc>
          <w:tcPr>
            <w:tcW w:w="14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121.31</w:t>
            </w:r>
            <w:r>
              <w:rPr>
                <w:rFonts w:ascii="Times New Roman" w:hAnsi="Times New Roman"/>
                <w:b/>
                <w:color w:val="000000"/>
                <w:sz w:val="20"/>
              </w:rPr>
              <w:t xml:space="preserve"> </w:t>
            </w:r>
          </w:p>
        </w:tc>
        <w:tc>
          <w:tcPr>
            <w:tcW w:w="129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3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3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教育支出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238.45</w:t>
            </w:r>
            <w:r>
              <w:rPr>
                <w:rFonts w:ascii="Times New Roman" w:hAnsi="Times New Roman"/>
                <w:b/>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117.14</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121.31</w:t>
            </w:r>
            <w:r>
              <w:rPr>
                <w:rFonts w:ascii="Times New Roman" w:hAnsi="Times New Roman"/>
                <w:b/>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121.31</w:t>
            </w:r>
            <w:r>
              <w:rPr>
                <w:rFonts w:ascii="Times New Roman" w:hAnsi="Times New Roman"/>
                <w:b/>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20501</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教育管理事务</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238.28</w:t>
            </w:r>
            <w:r>
              <w:rPr>
                <w:rFonts w:ascii="Times New Roman" w:hAnsi="Times New Roman"/>
                <w:b/>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116.96</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121.31</w:t>
            </w:r>
            <w:r>
              <w:rPr>
                <w:rFonts w:ascii="Times New Roman" w:hAnsi="Times New Roman"/>
                <w:b/>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121.31</w:t>
            </w:r>
            <w:r>
              <w:rPr>
                <w:rFonts w:ascii="Times New Roman" w:hAnsi="Times New Roman"/>
                <w:b/>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2050199</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其他教育管理事务支出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238.28</w:t>
            </w:r>
            <w:r>
              <w:rPr>
                <w:rFonts w:ascii="Times New Roman" w:hAnsi="Times New Roman"/>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116.96</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121.31</w:t>
            </w:r>
            <w:r>
              <w:rPr>
                <w:rFonts w:ascii="Times New Roman" w:hAnsi="Times New Roman"/>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121.31</w:t>
            </w:r>
            <w:r>
              <w:rPr>
                <w:rFonts w:ascii="Times New Roman" w:hAnsi="Times New Roman"/>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20508</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进修及培训</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0.18</w:t>
            </w:r>
            <w:r>
              <w:rPr>
                <w:rFonts w:ascii="Times New Roman" w:hAnsi="Times New Roman"/>
                <w:b/>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0.18</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2050803</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培训支出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0.18</w:t>
            </w:r>
            <w:r>
              <w:rPr>
                <w:rFonts w:ascii="Times New Roman" w:hAnsi="Times New Roman"/>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0.18</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21.27</w:t>
            </w:r>
            <w:r>
              <w:rPr>
                <w:rFonts w:ascii="Times New Roman" w:hAnsi="Times New Roman"/>
                <w:b/>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21.27</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21.27</w:t>
            </w:r>
            <w:r>
              <w:rPr>
                <w:rFonts w:ascii="Times New Roman" w:hAnsi="Times New Roman"/>
                <w:b/>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21.27</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9.58</w:t>
            </w:r>
            <w:r>
              <w:rPr>
                <w:rFonts w:ascii="Times New Roman" w:hAnsi="Times New Roman"/>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9.58</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4.81</w:t>
            </w:r>
            <w:r>
              <w:rPr>
                <w:rFonts w:ascii="Times New Roman" w:hAnsi="Times New Roman"/>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4.81</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6.88</w:t>
            </w:r>
            <w:r>
              <w:rPr>
                <w:rFonts w:ascii="Times New Roman" w:hAnsi="Times New Roman"/>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6.88</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3.28</w:t>
            </w:r>
            <w:r>
              <w:rPr>
                <w:rFonts w:ascii="Times New Roman" w:hAnsi="Times New Roman"/>
                <w:b/>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3.28</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3.28</w:t>
            </w:r>
            <w:r>
              <w:rPr>
                <w:rFonts w:ascii="Times New Roman" w:hAnsi="Times New Roman"/>
                <w:b/>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3.28</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3.28</w:t>
            </w:r>
            <w:r>
              <w:rPr>
                <w:rFonts w:ascii="Times New Roman" w:hAnsi="Times New Roman"/>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3.28</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3.93</w:t>
            </w:r>
            <w:r>
              <w:rPr>
                <w:rFonts w:ascii="Times New Roman" w:hAnsi="Times New Roman"/>
                <w:b/>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3.93</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3.93</w:t>
            </w:r>
            <w:r>
              <w:rPr>
                <w:rFonts w:ascii="Times New Roman" w:hAnsi="Times New Roman"/>
                <w:b/>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3.93</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3.93</w:t>
            </w:r>
            <w:r>
              <w:rPr>
                <w:rFonts w:ascii="Times New Roman" w:hAnsi="Times New Roman"/>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3.93</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pPr>
        <w:ind w:left="600" w:hanging="600" w:hangingChars="300"/>
        <w:rPr>
          <w:rFonts w:hint="default"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0"/>
          <w:szCs w:val="20"/>
        </w:rPr>
      </w:pPr>
      <w:r>
        <w:rPr>
          <w:rFonts w:cs="宋体"/>
          <w:sz w:val="20"/>
          <w:szCs w:val="20"/>
        </w:rPr>
        <w:br w:type="page"/>
      </w:r>
    </w:p>
    <w:tbl>
      <w:tblPr>
        <w:tblStyle w:val="7"/>
        <w:tblW w:w="15322" w:type="dxa"/>
        <w:tblInd w:w="0" w:type="dxa"/>
        <w:tblLayout w:type="fixed"/>
        <w:tblCellMar>
          <w:top w:w="0" w:type="dxa"/>
          <w:left w:w="0" w:type="dxa"/>
          <w:bottom w:w="0" w:type="dxa"/>
          <w:right w:w="0" w:type="dxa"/>
        </w:tblCellMar>
      </w:tblPr>
      <w:tblGrid>
        <w:gridCol w:w="1289"/>
        <w:gridCol w:w="3604"/>
        <w:gridCol w:w="1839"/>
        <w:gridCol w:w="1762"/>
        <w:gridCol w:w="1621"/>
        <w:gridCol w:w="1557"/>
        <w:gridCol w:w="1692"/>
        <w:gridCol w:w="1958"/>
      </w:tblGrid>
      <w:tr>
        <w:tblPrEx>
          <w:tblLayout w:type="fixed"/>
          <w:tblCellMar>
            <w:top w:w="0" w:type="dxa"/>
            <w:left w:w="0" w:type="dxa"/>
            <w:bottom w:w="0" w:type="dxa"/>
            <w:right w:w="0" w:type="dxa"/>
          </w:tblCellMar>
        </w:tblPrEx>
        <w:trPr>
          <w:trHeight w:val="654" w:hRule="atLeast"/>
        </w:trPr>
        <w:tc>
          <w:tcPr>
            <w:tcW w:w="15322" w:type="dxa"/>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支出决算表</w:t>
            </w:r>
          </w:p>
        </w:tc>
      </w:tr>
      <w:tr>
        <w:tblPrEx>
          <w:tblLayout w:type="fixed"/>
          <w:tblCellMar>
            <w:top w:w="0" w:type="dxa"/>
            <w:left w:w="0" w:type="dxa"/>
            <w:bottom w:w="0" w:type="dxa"/>
            <w:right w:w="0" w:type="dxa"/>
          </w:tblCellMar>
        </w:tblPrEx>
        <w:trPr>
          <w:trHeight w:val="342" w:hRule="atLeast"/>
        </w:trPr>
        <w:tc>
          <w:tcPr>
            <w:tcW w:w="6732"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 xml:space="preserve">垫江县基础教育质量监测中心 </w:t>
            </w:r>
          </w:p>
        </w:tc>
        <w:tc>
          <w:tcPr>
            <w:tcW w:w="1762"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2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55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92"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958"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03</w:t>
            </w:r>
            <w:r>
              <w:rPr>
                <w:rFonts w:cs="宋体"/>
                <w:color w:val="000000"/>
                <w:sz w:val="20"/>
                <w:szCs w:val="20"/>
              </w:rPr>
              <w:t>表</w:t>
            </w:r>
          </w:p>
        </w:tc>
      </w:tr>
      <w:tr>
        <w:tblPrEx>
          <w:tblLayout w:type="fixed"/>
          <w:tblCellMar>
            <w:top w:w="0" w:type="dxa"/>
            <w:left w:w="0" w:type="dxa"/>
            <w:bottom w:w="0" w:type="dxa"/>
            <w:right w:w="0" w:type="dxa"/>
          </w:tblCellMar>
        </w:tblPrEx>
        <w:trPr>
          <w:trHeight w:val="342" w:hRule="atLeast"/>
        </w:trPr>
        <w:tc>
          <w:tcPr>
            <w:tcW w:w="6732"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62"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2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55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92"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958"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62" w:hRule="atLeast"/>
        </w:trPr>
        <w:tc>
          <w:tcPr>
            <w:tcW w:w="489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83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本年支出合计</w:t>
            </w:r>
          </w:p>
        </w:tc>
        <w:tc>
          <w:tcPr>
            <w:tcW w:w="176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62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55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上缴上级支出</w:t>
            </w:r>
          </w:p>
        </w:tc>
        <w:tc>
          <w:tcPr>
            <w:tcW w:w="169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经营支出</w:t>
            </w:r>
          </w:p>
        </w:tc>
        <w:tc>
          <w:tcPr>
            <w:tcW w:w="195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对附属单位补助支出</w:t>
            </w:r>
          </w:p>
        </w:tc>
      </w:tr>
      <w:tr>
        <w:tblPrEx>
          <w:tblLayout w:type="fixed"/>
          <w:tblCellMar>
            <w:top w:w="0" w:type="dxa"/>
            <w:left w:w="0" w:type="dxa"/>
            <w:bottom w:w="0" w:type="dxa"/>
            <w:right w:w="0" w:type="dxa"/>
          </w:tblCellMar>
        </w:tblPrEx>
        <w:trPr>
          <w:trHeight w:val="338" w:hRule="atLeast"/>
        </w:trPr>
        <w:tc>
          <w:tcPr>
            <w:tcW w:w="1289"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604"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289"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604"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289"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604"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289"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604"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62" w:hRule="atLeast"/>
        </w:trPr>
        <w:tc>
          <w:tcPr>
            <w:tcW w:w="489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264.79</w:t>
            </w:r>
            <w:r>
              <w:rPr>
                <w:rFonts w:ascii="Times New Roman" w:hAnsi="Times New Roman"/>
                <w:b/>
                <w:color w:val="000000"/>
                <w:sz w:val="20"/>
              </w:rPr>
              <w:t xml:space="preserve"> </w:t>
            </w:r>
          </w:p>
        </w:tc>
        <w:tc>
          <w:tcPr>
            <w:tcW w:w="176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229.19</w:t>
            </w:r>
            <w:r>
              <w:rPr>
                <w:rFonts w:ascii="Times New Roman" w:hAnsi="Times New Roman"/>
                <w:b/>
                <w:color w:val="000000"/>
                <w:sz w:val="20"/>
              </w:rPr>
              <w:t xml:space="preserve"> </w:t>
            </w:r>
          </w:p>
        </w:tc>
        <w:tc>
          <w:tcPr>
            <w:tcW w:w="16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35.60</w:t>
            </w:r>
            <w:r>
              <w:rPr>
                <w:rFonts w:ascii="Times New Roman" w:hAnsi="Times New Roman"/>
                <w:b/>
                <w:color w:val="000000"/>
                <w:sz w:val="20"/>
              </w:rPr>
              <w:t xml:space="preserve"> </w:t>
            </w:r>
          </w:p>
        </w:tc>
        <w:tc>
          <w:tcPr>
            <w:tcW w:w="15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6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9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教育支出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236.31</w:t>
            </w:r>
            <w:r>
              <w:rPr>
                <w:rFonts w:ascii="Times New Roman" w:hAnsi="Times New Roman"/>
                <w:b/>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200.71</w:t>
            </w:r>
            <w:r>
              <w:rPr>
                <w:rFonts w:ascii="Times New Roman" w:hAnsi="Times New Roman"/>
                <w:b/>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35.60</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20501</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教育管理事务</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236.13</w:t>
            </w:r>
            <w:r>
              <w:rPr>
                <w:rFonts w:ascii="Times New Roman" w:hAnsi="Times New Roman"/>
                <w:b/>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200.53</w:t>
            </w:r>
            <w:r>
              <w:rPr>
                <w:rFonts w:ascii="Times New Roman" w:hAnsi="Times New Roman"/>
                <w:b/>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35.60</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2050199</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其他教育管理事务支出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236.13</w:t>
            </w:r>
            <w:r>
              <w:rPr>
                <w:rFonts w:ascii="Times New Roman" w:hAnsi="Times New Roman"/>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200.53</w:t>
            </w:r>
            <w:r>
              <w:rPr>
                <w:rFonts w:ascii="Times New Roman" w:hAnsi="Times New Roman"/>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35.60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20508</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进修及培训</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0.18</w:t>
            </w:r>
            <w:r>
              <w:rPr>
                <w:rFonts w:ascii="Times New Roman" w:hAnsi="Times New Roman"/>
                <w:b/>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0.18</w:t>
            </w:r>
            <w:r>
              <w:rPr>
                <w:rFonts w:ascii="Times New Roman" w:hAnsi="Times New Roman"/>
                <w:b/>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2050803</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培训支出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0.18</w:t>
            </w:r>
            <w:r>
              <w:rPr>
                <w:rFonts w:ascii="Times New Roman" w:hAnsi="Times New Roman"/>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0.18</w:t>
            </w:r>
            <w:r>
              <w:rPr>
                <w:rFonts w:ascii="Times New Roman" w:hAnsi="Times New Roman"/>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21.27</w:t>
            </w:r>
            <w:r>
              <w:rPr>
                <w:rFonts w:ascii="Times New Roman" w:hAnsi="Times New Roman"/>
                <w:b/>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21.27</w:t>
            </w:r>
            <w:r>
              <w:rPr>
                <w:rFonts w:ascii="Times New Roman" w:hAnsi="Times New Roman"/>
                <w:b/>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21.27</w:t>
            </w:r>
            <w:r>
              <w:rPr>
                <w:rFonts w:ascii="Times New Roman" w:hAnsi="Times New Roman"/>
                <w:b/>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21.27</w:t>
            </w:r>
            <w:r>
              <w:rPr>
                <w:rFonts w:ascii="Times New Roman" w:hAnsi="Times New Roman"/>
                <w:b/>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9.58</w:t>
            </w:r>
            <w:r>
              <w:rPr>
                <w:rFonts w:ascii="Times New Roman" w:hAnsi="Times New Roman"/>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9.58</w:t>
            </w:r>
            <w:r>
              <w:rPr>
                <w:rFonts w:ascii="Times New Roman" w:hAnsi="Times New Roman"/>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4.81</w:t>
            </w:r>
            <w:r>
              <w:rPr>
                <w:rFonts w:ascii="Times New Roman" w:hAnsi="Times New Roman"/>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4.81</w:t>
            </w:r>
            <w:r>
              <w:rPr>
                <w:rFonts w:ascii="Times New Roman" w:hAnsi="Times New Roman"/>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6.88</w:t>
            </w:r>
            <w:r>
              <w:rPr>
                <w:rFonts w:ascii="Times New Roman" w:hAnsi="Times New Roman"/>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6.88</w:t>
            </w:r>
            <w:r>
              <w:rPr>
                <w:rFonts w:ascii="Times New Roman" w:hAnsi="Times New Roman"/>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3.28</w:t>
            </w:r>
            <w:r>
              <w:rPr>
                <w:rFonts w:ascii="Times New Roman" w:hAnsi="Times New Roman"/>
                <w:b/>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3.28</w:t>
            </w:r>
            <w:r>
              <w:rPr>
                <w:rFonts w:ascii="Times New Roman" w:hAnsi="Times New Roman"/>
                <w:b/>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3.28</w:t>
            </w:r>
            <w:r>
              <w:rPr>
                <w:rFonts w:ascii="Times New Roman" w:hAnsi="Times New Roman"/>
                <w:b/>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3.28</w:t>
            </w:r>
            <w:r>
              <w:rPr>
                <w:rFonts w:ascii="Times New Roman" w:hAnsi="Times New Roman"/>
                <w:b/>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3.28</w:t>
            </w:r>
            <w:r>
              <w:rPr>
                <w:rFonts w:ascii="Times New Roman" w:hAnsi="Times New Roman"/>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3.28</w:t>
            </w:r>
            <w:r>
              <w:rPr>
                <w:rFonts w:ascii="Times New Roman" w:hAnsi="Times New Roman"/>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3.93</w:t>
            </w:r>
            <w:r>
              <w:rPr>
                <w:rFonts w:ascii="Times New Roman" w:hAnsi="Times New Roman"/>
                <w:b/>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3.93</w:t>
            </w:r>
            <w:r>
              <w:rPr>
                <w:rFonts w:ascii="Times New Roman" w:hAnsi="Times New Roman"/>
                <w:b/>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3.93</w:t>
            </w:r>
            <w:r>
              <w:rPr>
                <w:rFonts w:ascii="Times New Roman" w:hAnsi="Times New Roman"/>
                <w:b/>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3.93</w:t>
            </w:r>
            <w:r>
              <w:rPr>
                <w:rFonts w:ascii="Times New Roman" w:hAnsi="Times New Roman"/>
                <w:b/>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3.93</w:t>
            </w:r>
            <w:r>
              <w:rPr>
                <w:rFonts w:ascii="Times New Roman" w:hAnsi="Times New Roman"/>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3.93</w:t>
            </w:r>
            <w:r>
              <w:rPr>
                <w:rFonts w:ascii="Times New Roman" w:hAnsi="Times New Roman"/>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pPr>
        <w:rPr>
          <w:rFonts w:hint="default"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p>
      <w:pPr>
        <w:rPr>
          <w:rFonts w:hint="default" w:cs="宋体"/>
          <w:sz w:val="21"/>
          <w:szCs w:val="21"/>
        </w:rPr>
      </w:pPr>
    </w:p>
    <w:tbl>
      <w:tblPr>
        <w:tblStyle w:val="7"/>
        <w:tblW w:w="14678" w:type="dxa"/>
        <w:tblInd w:w="0" w:type="dxa"/>
        <w:tblLayout w:type="fixed"/>
        <w:tblCellMar>
          <w:top w:w="0" w:type="dxa"/>
          <w:left w:w="0" w:type="dxa"/>
          <w:bottom w:w="0" w:type="dxa"/>
          <w:right w:w="0" w:type="dxa"/>
        </w:tblCellMar>
      </w:tblPr>
      <w:tblGrid>
        <w:gridCol w:w="2967"/>
        <w:gridCol w:w="1521"/>
        <w:gridCol w:w="3179"/>
        <w:gridCol w:w="1694"/>
        <w:gridCol w:w="1694"/>
        <w:gridCol w:w="1694"/>
        <w:gridCol w:w="1929"/>
      </w:tblGrid>
      <w:tr>
        <w:tblPrEx>
          <w:tblLayout w:type="fixed"/>
          <w:tblCellMar>
            <w:top w:w="0" w:type="dxa"/>
            <w:left w:w="0" w:type="dxa"/>
            <w:bottom w:w="0" w:type="dxa"/>
            <w:right w:w="0" w:type="dxa"/>
          </w:tblCellMar>
        </w:tblPrEx>
        <w:trPr>
          <w:trHeight w:val="90" w:hRule="atLeast"/>
        </w:trPr>
        <w:tc>
          <w:tcPr>
            <w:tcW w:w="14678" w:type="dxa"/>
            <w:gridSpan w:val="7"/>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tblPrEx>
          <w:tblLayout w:type="fixed"/>
          <w:tblCellMar>
            <w:top w:w="0" w:type="dxa"/>
            <w:left w:w="0" w:type="dxa"/>
            <w:bottom w:w="0" w:type="dxa"/>
            <w:right w:w="0" w:type="dxa"/>
          </w:tblCellMar>
        </w:tblPrEx>
        <w:trPr>
          <w:trHeight w:val="90" w:hRule="atLeast"/>
        </w:trPr>
        <w:tc>
          <w:tcPr>
            <w:tcW w:w="7667" w:type="dxa"/>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rPr>
              <w:t>垫江县基础教育质量监测中心</w:t>
            </w: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929" w:type="dxa"/>
            <w:tcBorders>
              <w:top w:val="nil"/>
              <w:left w:val="nil"/>
              <w:bottom w:val="nil"/>
              <w:right w:val="nil"/>
            </w:tcBorders>
            <w:shd w:val="clear" w:color="auto" w:fill="auto"/>
            <w:noWrap/>
            <w:tcMar>
              <w:top w:w="15" w:type="dxa"/>
              <w:left w:w="15" w:type="dxa"/>
              <w:right w:w="15" w:type="dxa"/>
            </w:tcMar>
            <w:vAlign w:val="bottom"/>
          </w:tcPr>
          <w:p>
            <w:pPr>
              <w:spacing w:line="26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04</w:t>
            </w:r>
            <w:r>
              <w:rPr>
                <w:rFonts w:cs="宋体"/>
                <w:color w:val="000000"/>
                <w:sz w:val="20"/>
                <w:szCs w:val="20"/>
              </w:rPr>
              <w:t>表</w:t>
            </w:r>
          </w:p>
        </w:tc>
      </w:tr>
      <w:tr>
        <w:tblPrEx>
          <w:tblLayout w:type="fixed"/>
          <w:tblCellMar>
            <w:top w:w="0" w:type="dxa"/>
            <w:left w:w="0" w:type="dxa"/>
            <w:bottom w:w="0" w:type="dxa"/>
            <w:right w:w="0" w:type="dxa"/>
          </w:tblCellMar>
        </w:tblPrEx>
        <w:trPr>
          <w:trHeight w:val="90" w:hRule="atLeast"/>
        </w:trPr>
        <w:tc>
          <w:tcPr>
            <w:tcW w:w="7667" w:type="dxa"/>
            <w:gridSpan w:val="3"/>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929" w:type="dxa"/>
            <w:tcBorders>
              <w:top w:val="nil"/>
              <w:left w:val="nil"/>
              <w:bottom w:val="nil"/>
              <w:right w:val="nil"/>
            </w:tcBorders>
            <w:shd w:val="clear" w:color="auto" w:fill="auto"/>
            <w:noWrap/>
            <w:tcMar>
              <w:top w:w="15" w:type="dxa"/>
              <w:left w:w="15" w:type="dxa"/>
              <w:right w:w="15" w:type="dxa"/>
            </w:tcMar>
            <w:vAlign w:val="bottom"/>
          </w:tcPr>
          <w:p>
            <w:pPr>
              <w:spacing w:line="26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90" w:hRule="atLeast"/>
        </w:trPr>
        <w:tc>
          <w:tcPr>
            <w:tcW w:w="448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10190"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支     出</w:t>
            </w:r>
          </w:p>
        </w:tc>
      </w:tr>
      <w:tr>
        <w:tblPrEx>
          <w:tblLayout w:type="fixed"/>
          <w:tblCellMar>
            <w:top w:w="0" w:type="dxa"/>
            <w:left w:w="0" w:type="dxa"/>
            <w:bottom w:w="0" w:type="dxa"/>
            <w:right w:w="0" w:type="dxa"/>
          </w:tblCellMar>
        </w:tblPrEx>
        <w:trPr>
          <w:trHeight w:val="90" w:hRule="atLeast"/>
        </w:trPr>
        <w:tc>
          <w:tcPr>
            <w:tcW w:w="29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152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317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7011"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tblPrEx>
          <w:tblLayout w:type="fixed"/>
          <w:tblCellMar>
            <w:top w:w="0" w:type="dxa"/>
            <w:left w:w="0" w:type="dxa"/>
            <w:bottom w:w="0" w:type="dxa"/>
            <w:right w:w="0" w:type="dxa"/>
          </w:tblCellMar>
        </w:tblPrEx>
        <w:trPr>
          <w:trHeight w:val="90" w:hRule="atLeast"/>
        </w:trPr>
        <w:tc>
          <w:tcPr>
            <w:tcW w:w="29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5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317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145.63</w:t>
            </w: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117.14</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117.14</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21.27</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21.27</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3.28</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3.28</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3.93</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3.93</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145.63</w:t>
            </w: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145.63</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145.63</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145.63</w:t>
            </w: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145.63</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145.63</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bl>
    <w:p>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15322" w:type="dxa"/>
        <w:tblInd w:w="0" w:type="dxa"/>
        <w:tblLayout w:type="fixed"/>
        <w:tblCellMar>
          <w:top w:w="0" w:type="dxa"/>
          <w:left w:w="0" w:type="dxa"/>
          <w:bottom w:w="0" w:type="dxa"/>
          <w:right w:w="0" w:type="dxa"/>
        </w:tblCellMar>
      </w:tblPr>
      <w:tblGrid>
        <w:gridCol w:w="1306"/>
        <w:gridCol w:w="4073"/>
        <w:gridCol w:w="3306"/>
        <w:gridCol w:w="3297"/>
        <w:gridCol w:w="3340"/>
      </w:tblGrid>
      <w:tr>
        <w:tblPrEx>
          <w:tblLayout w:type="fixed"/>
          <w:tblCellMar>
            <w:top w:w="0" w:type="dxa"/>
            <w:left w:w="0" w:type="dxa"/>
            <w:bottom w:w="0" w:type="dxa"/>
            <w:right w:w="0" w:type="dxa"/>
          </w:tblCellMar>
        </w:tblPrEx>
        <w:trPr>
          <w:trHeight w:val="510" w:hRule="atLeast"/>
        </w:trPr>
        <w:tc>
          <w:tcPr>
            <w:tcW w:w="15322" w:type="dxa"/>
            <w:gridSpan w:val="5"/>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tblPrEx>
          <w:tblLayout w:type="fixed"/>
          <w:tblCellMar>
            <w:top w:w="0" w:type="dxa"/>
            <w:left w:w="0" w:type="dxa"/>
            <w:bottom w:w="0" w:type="dxa"/>
            <w:right w:w="0" w:type="dxa"/>
          </w:tblCellMar>
        </w:tblPrEx>
        <w:trPr>
          <w:trHeight w:val="255" w:hRule="atLeast"/>
        </w:trPr>
        <w:tc>
          <w:tcPr>
            <w:tcW w:w="8685" w:type="dxa"/>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垫江县基础教育质量监测中心</w:t>
            </w:r>
          </w:p>
        </w:tc>
        <w:tc>
          <w:tcPr>
            <w:tcW w:w="329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340"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05</w:t>
            </w:r>
            <w:r>
              <w:rPr>
                <w:rFonts w:cs="宋体"/>
                <w:color w:val="000000"/>
                <w:sz w:val="20"/>
                <w:szCs w:val="20"/>
              </w:rPr>
              <w:t>表</w:t>
            </w:r>
          </w:p>
        </w:tc>
      </w:tr>
      <w:tr>
        <w:tblPrEx>
          <w:tblLayout w:type="fixed"/>
          <w:tblCellMar>
            <w:top w:w="0" w:type="dxa"/>
            <w:left w:w="0" w:type="dxa"/>
            <w:bottom w:w="0" w:type="dxa"/>
            <w:right w:w="0" w:type="dxa"/>
          </w:tblCellMar>
        </w:tblPrEx>
        <w:trPr>
          <w:trHeight w:val="285" w:hRule="atLeast"/>
        </w:trPr>
        <w:tc>
          <w:tcPr>
            <w:tcW w:w="8685"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29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340"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08" w:hRule="atLeast"/>
        </w:trPr>
        <w:tc>
          <w:tcPr>
            <w:tcW w:w="537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9943"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r>
      <w:tr>
        <w:tblPrEx>
          <w:tblLayout w:type="fixed"/>
          <w:tblCellMar>
            <w:top w:w="0" w:type="dxa"/>
            <w:left w:w="0" w:type="dxa"/>
            <w:bottom w:w="0" w:type="dxa"/>
            <w:right w:w="0" w:type="dxa"/>
          </w:tblCellMar>
        </w:tblPrEx>
        <w:trPr>
          <w:trHeight w:val="326" w:hRule="atLeast"/>
        </w:trPr>
        <w:tc>
          <w:tcPr>
            <w:tcW w:w="130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407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330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29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34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Layout w:type="fixed"/>
          <w:tblCellMar>
            <w:top w:w="0" w:type="dxa"/>
            <w:left w:w="0" w:type="dxa"/>
            <w:bottom w:w="0" w:type="dxa"/>
            <w:right w:w="0" w:type="dxa"/>
          </w:tblCellMar>
        </w:tblPrEx>
        <w:trPr>
          <w:trHeight w:val="326" w:hRule="atLeast"/>
        </w:trPr>
        <w:tc>
          <w:tcPr>
            <w:tcW w:w="130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7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29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15" w:hRule="atLeast"/>
        </w:trPr>
        <w:tc>
          <w:tcPr>
            <w:tcW w:w="130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7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29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08" w:hRule="atLeast"/>
        </w:trPr>
        <w:tc>
          <w:tcPr>
            <w:tcW w:w="5379"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145.63</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110.03</w:t>
            </w:r>
            <w:r>
              <w:rPr>
                <w:rFonts w:ascii="Times New Roman" w:hAnsi="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35.60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教育支出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117.14</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81.54</w:t>
            </w:r>
            <w:r>
              <w:rPr>
                <w:rFonts w:ascii="Times New Roman" w:hAnsi="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35.60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教育管理事务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116.96</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81.36</w:t>
            </w:r>
            <w:r>
              <w:rPr>
                <w:rFonts w:ascii="Times New Roman" w:hAnsi="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35.60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2050199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其他教育管理事务支出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116.96</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81.36</w:t>
            </w:r>
            <w:r>
              <w:rPr>
                <w:rFonts w:ascii="Times New Roman" w:hAnsi="Times New Roman"/>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35.60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20508</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进修及培训</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0.18</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0.18</w:t>
            </w:r>
            <w:r>
              <w:rPr>
                <w:rFonts w:ascii="Times New Roman" w:hAnsi="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2050803</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培训支出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0.18</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0.18</w:t>
            </w:r>
            <w:r>
              <w:rPr>
                <w:rFonts w:ascii="Times New Roman" w:hAnsi="Times New Roman"/>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21.27</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21.27</w:t>
            </w:r>
            <w:r>
              <w:rPr>
                <w:rFonts w:ascii="Times New Roman" w:hAnsi="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21.27</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21.27</w:t>
            </w:r>
            <w:r>
              <w:rPr>
                <w:rFonts w:ascii="Times New Roman" w:hAnsi="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9.58</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9.58</w:t>
            </w:r>
            <w:r>
              <w:rPr>
                <w:rFonts w:ascii="Times New Roman" w:hAnsi="Times New Roman"/>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4.81</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4.81</w:t>
            </w:r>
            <w:r>
              <w:rPr>
                <w:rFonts w:ascii="Times New Roman" w:hAnsi="Times New Roman"/>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6.88</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6.88</w:t>
            </w:r>
            <w:r>
              <w:rPr>
                <w:rFonts w:ascii="Times New Roman" w:hAnsi="Times New Roman"/>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3.28</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3.28</w:t>
            </w:r>
            <w:r>
              <w:rPr>
                <w:rFonts w:ascii="Times New Roman" w:hAnsi="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3.28</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3.28</w:t>
            </w:r>
            <w:r>
              <w:rPr>
                <w:rFonts w:ascii="Times New Roman" w:hAnsi="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3.28</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3.28</w:t>
            </w:r>
            <w:r>
              <w:rPr>
                <w:rFonts w:ascii="Times New Roman" w:hAnsi="Times New Roman"/>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3.93</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3.93</w:t>
            </w:r>
            <w:r>
              <w:rPr>
                <w:rFonts w:ascii="Times New Roman" w:hAnsi="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3.93</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3.93</w:t>
            </w:r>
            <w:r>
              <w:rPr>
                <w:rFonts w:ascii="Times New Roman" w:hAnsi="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3.93</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3.93</w:t>
            </w:r>
            <w:r>
              <w:rPr>
                <w:rFonts w:ascii="Times New Roman" w:hAnsi="Times New Roman"/>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pPr>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ind w:firstLine="630" w:firstLineChars="300"/>
        <w:rPr>
          <w:rFonts w:hint="default" w:cs="宋体"/>
          <w:sz w:val="21"/>
          <w:szCs w:val="21"/>
        </w:rPr>
      </w:pPr>
      <w:r>
        <w:rPr>
          <w:rFonts w:cs="宋体"/>
          <w:sz w:val="21"/>
          <w:szCs w:val="21"/>
        </w:rPr>
        <w:br w:type="page"/>
      </w:r>
    </w:p>
    <w:tbl>
      <w:tblPr>
        <w:tblStyle w:val="7"/>
        <w:tblW w:w="15304" w:type="dxa"/>
        <w:tblInd w:w="0" w:type="dxa"/>
        <w:tblLayout w:type="fixed"/>
        <w:tblCellMar>
          <w:top w:w="0" w:type="dxa"/>
          <w:left w:w="0" w:type="dxa"/>
          <w:bottom w:w="0" w:type="dxa"/>
          <w:right w:w="0" w:type="dxa"/>
        </w:tblCellMar>
      </w:tblPr>
      <w:tblGrid>
        <w:gridCol w:w="802"/>
        <w:gridCol w:w="2810"/>
        <w:gridCol w:w="1540"/>
        <w:gridCol w:w="872"/>
        <w:gridCol w:w="2032"/>
        <w:gridCol w:w="1417"/>
        <w:gridCol w:w="872"/>
        <w:gridCol w:w="3462"/>
        <w:gridCol w:w="1497"/>
      </w:tblGrid>
      <w:tr>
        <w:tblPrEx>
          <w:tblLayout w:type="fixed"/>
          <w:tblCellMar>
            <w:top w:w="0" w:type="dxa"/>
            <w:left w:w="0" w:type="dxa"/>
            <w:bottom w:w="0" w:type="dxa"/>
            <w:right w:w="0" w:type="dxa"/>
          </w:tblCellMar>
        </w:tblPrEx>
        <w:trPr>
          <w:trHeight w:val="90" w:hRule="atLeast"/>
        </w:trPr>
        <w:tc>
          <w:tcPr>
            <w:tcW w:w="15304" w:type="dxa"/>
            <w:gridSpan w:val="9"/>
            <w:tcBorders>
              <w:top w:val="nil"/>
              <w:left w:val="nil"/>
              <w:bottom w:val="nil"/>
              <w:right w:val="nil"/>
            </w:tcBorders>
            <w:shd w:val="clear" w:color="auto" w:fill="auto"/>
            <w:noWrap/>
            <w:tcMar>
              <w:top w:w="15" w:type="dxa"/>
              <w:left w:w="15" w:type="dxa"/>
              <w:right w:w="15" w:type="dxa"/>
            </w:tcMar>
            <w:vAlign w:val="bottom"/>
          </w:tcPr>
          <w:p>
            <w:pPr>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tblPrEx>
          <w:tblLayout w:type="fixed"/>
          <w:tblCellMar>
            <w:top w:w="0" w:type="dxa"/>
            <w:left w:w="0" w:type="dxa"/>
            <w:bottom w:w="0" w:type="dxa"/>
            <w:right w:w="0" w:type="dxa"/>
          </w:tblCellMar>
        </w:tblPrEx>
        <w:trPr>
          <w:trHeight w:val="334" w:hRule="atLeast"/>
        </w:trPr>
        <w:tc>
          <w:tcPr>
            <w:tcW w:w="8056" w:type="dxa"/>
            <w:gridSpan w:val="5"/>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rPr>
              <w:t>垫江县基础教育质量监测中心</w:t>
            </w:r>
          </w:p>
        </w:tc>
        <w:tc>
          <w:tcPr>
            <w:tcW w:w="1417"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72"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3462"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497"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06</w:t>
            </w:r>
            <w:r>
              <w:rPr>
                <w:rFonts w:cs="宋体"/>
                <w:color w:val="000000"/>
                <w:sz w:val="20"/>
                <w:szCs w:val="20"/>
              </w:rPr>
              <w:t>表</w:t>
            </w:r>
          </w:p>
        </w:tc>
      </w:tr>
      <w:tr>
        <w:tblPrEx>
          <w:tblLayout w:type="fixed"/>
          <w:tblCellMar>
            <w:top w:w="0" w:type="dxa"/>
            <w:left w:w="0" w:type="dxa"/>
            <w:bottom w:w="0" w:type="dxa"/>
            <w:right w:w="0" w:type="dxa"/>
          </w:tblCellMar>
        </w:tblPrEx>
        <w:trPr>
          <w:trHeight w:val="520" w:hRule="atLeast"/>
        </w:trPr>
        <w:tc>
          <w:tcPr>
            <w:tcW w:w="8056" w:type="dxa"/>
            <w:gridSpan w:val="5"/>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417"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72"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3462"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497"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90" w:hRule="atLeast"/>
        </w:trPr>
        <w:tc>
          <w:tcPr>
            <w:tcW w:w="515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人员经费</w:t>
            </w:r>
          </w:p>
        </w:tc>
        <w:tc>
          <w:tcPr>
            <w:tcW w:w="10152" w:type="dxa"/>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公用经费</w:t>
            </w:r>
          </w:p>
        </w:tc>
      </w:tr>
      <w:tr>
        <w:tblPrEx>
          <w:tblLayout w:type="fixed"/>
          <w:tblCellMar>
            <w:top w:w="0" w:type="dxa"/>
            <w:left w:w="0" w:type="dxa"/>
            <w:bottom w:w="0" w:type="dxa"/>
            <w:right w:w="0" w:type="dxa"/>
          </w:tblCellMar>
        </w:tblPrEx>
        <w:trPr>
          <w:trHeight w:val="312" w:hRule="atLeast"/>
        </w:trPr>
        <w:tc>
          <w:tcPr>
            <w:tcW w:w="80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81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54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87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03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41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87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346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49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金额</w:t>
            </w:r>
          </w:p>
        </w:tc>
      </w:tr>
      <w:tr>
        <w:tblPrEx>
          <w:tblLayout w:type="fixed"/>
          <w:tblCellMar>
            <w:top w:w="0" w:type="dxa"/>
            <w:left w:w="0" w:type="dxa"/>
            <w:bottom w:w="0" w:type="dxa"/>
            <w:right w:w="0" w:type="dxa"/>
          </w:tblCellMar>
        </w:tblPrEx>
        <w:trPr>
          <w:trHeight w:val="312" w:hRule="atLeast"/>
        </w:trPr>
        <w:tc>
          <w:tcPr>
            <w:tcW w:w="80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281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15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87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203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14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87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346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149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301</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工资福利支出</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88.10</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302</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商品和服务支出</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15.04</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310</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资本性支出</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30101</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基本工资</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18.33</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30201</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办公费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0.99</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31001</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房屋建筑物购建</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30102</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津贴补贴</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1.07</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30202</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印刷费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2.65</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31002</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办公设备购置</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30103</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奖金</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30203</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咨询费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0.05</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31003</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专用设备购置</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30106</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伙食补助费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30204</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手续费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31005</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基础设施建设</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30107</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绩效工资</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44.88</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30205</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水费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31006</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大型修缮</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30108</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9.58</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30206</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电费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31007</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30109</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职业年金缴费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4.81</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30207</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邮电费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31008</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物资储备</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30110</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3.28</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30208</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取暖费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31009</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土地补偿</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30111</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30209</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物业管理费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31010</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安置补助</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30112</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其他社会保障缴费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0.10</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30211</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差旅费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2.55</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31011</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30113</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住房公积金</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3.93</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30212</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因公出国（境）费用</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31012</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拆迁补偿</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30114</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医疗费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0.64</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30213</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维修（护）费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31013</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公务用车购置</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30199</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其他工资福利支出</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1.49</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30214</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租赁费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0.15</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31019</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其他交通工具购置</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303</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对个人和家庭的补助</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6.88</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30215</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会议费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31021</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文物和陈列品购置</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30301</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离休费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30216</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培训费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0.18</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31022</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无形资产购置</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30302</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退休费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30217</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公务接待费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31099</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其他资本性支出</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30303</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退职（役）费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30218</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专用材料费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312</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对企业补助</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30304</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抚恤金</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30224</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被装购置费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31201</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资本金注入</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30305</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生活补助</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1.30</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30225</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专用燃料费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31203</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30306</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救济费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30226</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劳务费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3.03</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31204</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费用补贴</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30307</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医疗费补助</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0.20</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30227</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委托业务费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31205</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利息补贴</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30308</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助学金</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30228</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工会经费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0.44</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31206</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30309</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奖励金</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5.38</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30229</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福利费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0.96</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31299</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其他对企业补助</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30310</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个人农业生产补贴</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30231</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399</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其他支出</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30311</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代缴社会保险费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30239</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其他交通费用</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39907</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国家赔偿费用支出</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30399</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30240</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税金及附加费用</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39908</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30299</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4.04</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39909</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经常性赠与</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307</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债务利息及费用支出</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39910</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资本性赠与</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30701</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国内债务付息</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39999</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其他支出</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30702</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国外债务付息</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30703</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国内债务发行费用</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155"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30704</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国外债务发行费用</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310" w:hRule="atLeast"/>
        </w:trPr>
        <w:tc>
          <w:tcPr>
            <w:tcW w:w="3612"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人员经费合计</w:t>
            </w:r>
          </w:p>
        </w:tc>
        <w:tc>
          <w:tcPr>
            <w:tcW w:w="154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94.99</w:t>
            </w:r>
            <w:r>
              <w:rPr>
                <w:rFonts w:ascii="Times New Roman" w:hAnsi="Times New Roman"/>
                <w:color w:val="000000"/>
                <w:sz w:val="18"/>
              </w:rPr>
              <w:t xml:space="preserve"> </w:t>
            </w:r>
          </w:p>
        </w:tc>
        <w:tc>
          <w:tcPr>
            <w:tcW w:w="8655" w:type="dxa"/>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公用经费合计</w:t>
            </w:r>
          </w:p>
        </w:tc>
        <w:tc>
          <w:tcPr>
            <w:tcW w:w="14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15.04</w:t>
            </w:r>
            <w:r>
              <w:rPr>
                <w:rFonts w:ascii="Times New Roman" w:hAnsi="Times New Roman"/>
                <w:color w:val="000000"/>
                <w:sz w:val="18"/>
              </w:rPr>
              <w:t xml:space="preserve"> </w:t>
            </w:r>
          </w:p>
        </w:tc>
      </w:tr>
    </w:tbl>
    <w:p>
      <w:pPr>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15322" w:type="dxa"/>
        <w:tblInd w:w="0" w:type="dxa"/>
        <w:tblLayout w:type="fixed"/>
        <w:tblCellMar>
          <w:top w:w="0" w:type="dxa"/>
          <w:left w:w="0" w:type="dxa"/>
          <w:bottom w:w="0" w:type="dxa"/>
          <w:right w:w="0" w:type="dxa"/>
        </w:tblCellMar>
      </w:tblPr>
      <w:tblGrid>
        <w:gridCol w:w="1320"/>
        <w:gridCol w:w="3594"/>
        <w:gridCol w:w="1701"/>
        <w:gridCol w:w="1701"/>
        <w:gridCol w:w="1701"/>
        <w:gridCol w:w="1701"/>
        <w:gridCol w:w="1765"/>
        <w:gridCol w:w="1839"/>
      </w:tblGrid>
      <w:tr>
        <w:tblPrEx>
          <w:tblLayout w:type="fixed"/>
          <w:tblCellMar>
            <w:top w:w="0" w:type="dxa"/>
            <w:left w:w="0" w:type="dxa"/>
            <w:bottom w:w="0" w:type="dxa"/>
            <w:right w:w="0" w:type="dxa"/>
          </w:tblCellMar>
        </w:tblPrEx>
        <w:trPr>
          <w:trHeight w:val="644" w:hRule="atLeast"/>
        </w:trPr>
        <w:tc>
          <w:tcPr>
            <w:tcW w:w="15322" w:type="dxa"/>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tblPrEx>
          <w:tblLayout w:type="fixed"/>
          <w:tblCellMar>
            <w:top w:w="0" w:type="dxa"/>
            <w:left w:w="0" w:type="dxa"/>
            <w:bottom w:w="0" w:type="dxa"/>
            <w:right w:w="0" w:type="dxa"/>
          </w:tblCellMar>
        </w:tblPrEx>
        <w:trPr>
          <w:trHeight w:val="329" w:hRule="atLeast"/>
        </w:trPr>
        <w:tc>
          <w:tcPr>
            <w:tcW w:w="6615" w:type="dxa"/>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垫江县基础教育质量监测中心</w:t>
            </w: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65"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839"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07</w:t>
            </w:r>
            <w:r>
              <w:rPr>
                <w:rFonts w:cs="宋体"/>
                <w:color w:val="000000"/>
                <w:sz w:val="20"/>
                <w:szCs w:val="20"/>
              </w:rPr>
              <w:t>表</w:t>
            </w:r>
          </w:p>
        </w:tc>
      </w:tr>
      <w:tr>
        <w:tblPrEx>
          <w:tblLayout w:type="fixed"/>
          <w:tblCellMar>
            <w:top w:w="0" w:type="dxa"/>
            <w:left w:w="0" w:type="dxa"/>
            <w:bottom w:w="0" w:type="dxa"/>
            <w:right w:w="0" w:type="dxa"/>
          </w:tblCellMar>
        </w:tblPrEx>
        <w:trPr>
          <w:trHeight w:val="329" w:hRule="atLeast"/>
        </w:trPr>
        <w:tc>
          <w:tcPr>
            <w:tcW w:w="6615"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65"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839"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39" w:hRule="atLeast"/>
        </w:trPr>
        <w:tc>
          <w:tcPr>
            <w:tcW w:w="491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1701"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年初结转和结余</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w:t>
            </w:r>
          </w:p>
        </w:tc>
        <w:tc>
          <w:tcPr>
            <w:tcW w:w="5167"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c>
          <w:tcPr>
            <w:tcW w:w="183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年末结转和结余</w:t>
            </w:r>
          </w:p>
        </w:tc>
      </w:tr>
      <w:tr>
        <w:tblPrEx>
          <w:tblLayout w:type="fixed"/>
          <w:tblCellMar>
            <w:top w:w="0" w:type="dxa"/>
            <w:left w:w="0" w:type="dxa"/>
            <w:bottom w:w="0" w:type="dxa"/>
            <w:right w:w="0" w:type="dxa"/>
          </w:tblCellMar>
        </w:tblPrEx>
        <w:trPr>
          <w:trHeight w:val="335" w:hRule="atLeast"/>
        </w:trPr>
        <w:tc>
          <w:tcPr>
            <w:tcW w:w="13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59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76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5" w:hRule="atLeast"/>
        </w:trPr>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5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45" w:hRule="atLeast"/>
        </w:trPr>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5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9" w:hRule="atLeast"/>
        </w:trPr>
        <w:tc>
          <w:tcPr>
            <w:tcW w:w="4914"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9" w:hRule="atLeast"/>
        </w:trPr>
        <w:tc>
          <w:tcPr>
            <w:tcW w:w="132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p>
        </w:tc>
        <w:tc>
          <w:tcPr>
            <w:tcW w:w="35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pPr>
        <w:rPr>
          <w:rFonts w:hint="default" w:cs="宋体"/>
          <w:sz w:val="21"/>
          <w:szCs w:val="21"/>
        </w:rPr>
      </w:pPr>
      <w:r>
        <w:rPr>
          <w:rFonts w:cs="宋体"/>
          <w:sz w:val="20"/>
          <w:szCs w:val="20"/>
        </w:rPr>
        <w:t>备注：本表反映单位本年度政府性基金预算财政拨款收入支出及结转和结余情况。本单位无政府性基金收支，故本表无数据。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tbl>
      <w:tblPr>
        <w:tblStyle w:val="7"/>
        <w:tblW w:w="15322" w:type="dxa"/>
        <w:tblInd w:w="0" w:type="dxa"/>
        <w:tblLayout w:type="fixed"/>
        <w:tblCellMar>
          <w:top w:w="0" w:type="dxa"/>
          <w:left w:w="0" w:type="dxa"/>
          <w:bottom w:w="0" w:type="dxa"/>
          <w:right w:w="0" w:type="dxa"/>
        </w:tblCellMar>
      </w:tblPr>
      <w:tblGrid>
        <w:gridCol w:w="1293"/>
        <w:gridCol w:w="3616"/>
        <w:gridCol w:w="3273"/>
        <w:gridCol w:w="190"/>
        <w:gridCol w:w="3463"/>
        <w:gridCol w:w="86"/>
        <w:gridCol w:w="3401"/>
      </w:tblGrid>
      <w:tr>
        <w:tblPrEx>
          <w:tblLayout w:type="fixed"/>
          <w:tblCellMar>
            <w:top w:w="0" w:type="dxa"/>
            <w:left w:w="0" w:type="dxa"/>
            <w:bottom w:w="0" w:type="dxa"/>
            <w:right w:w="0" w:type="dxa"/>
          </w:tblCellMar>
        </w:tblPrEx>
        <w:trPr>
          <w:trHeight w:val="650" w:hRule="atLeast"/>
        </w:trPr>
        <w:tc>
          <w:tcPr>
            <w:tcW w:w="15322" w:type="dxa"/>
            <w:gridSpan w:val="7"/>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tblPrEx>
          <w:tblLayout w:type="fixed"/>
          <w:tblCellMar>
            <w:top w:w="0" w:type="dxa"/>
            <w:left w:w="0" w:type="dxa"/>
            <w:bottom w:w="0" w:type="dxa"/>
            <w:right w:w="0" w:type="dxa"/>
          </w:tblCellMar>
        </w:tblPrEx>
        <w:trPr>
          <w:trHeight w:val="332" w:hRule="atLeast"/>
        </w:trPr>
        <w:tc>
          <w:tcPr>
            <w:tcW w:w="8182" w:type="dxa"/>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垫江县基础教育质量监测中心</w:t>
            </w:r>
          </w:p>
        </w:tc>
        <w:tc>
          <w:tcPr>
            <w:tcW w:w="3739" w:type="dxa"/>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401"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08</w:t>
            </w:r>
            <w:r>
              <w:rPr>
                <w:rFonts w:cs="宋体"/>
                <w:color w:val="000000"/>
                <w:sz w:val="20"/>
                <w:szCs w:val="20"/>
              </w:rPr>
              <w:t>表</w:t>
            </w:r>
          </w:p>
        </w:tc>
      </w:tr>
      <w:tr>
        <w:tblPrEx>
          <w:tblLayout w:type="fixed"/>
          <w:tblCellMar>
            <w:top w:w="0" w:type="dxa"/>
            <w:left w:w="0" w:type="dxa"/>
            <w:bottom w:w="0" w:type="dxa"/>
            <w:right w:w="0" w:type="dxa"/>
          </w:tblCellMar>
        </w:tblPrEx>
        <w:trPr>
          <w:trHeight w:val="332" w:hRule="atLeast"/>
        </w:trPr>
        <w:tc>
          <w:tcPr>
            <w:tcW w:w="8182"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739" w:type="dxa"/>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401"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422" w:hRule="atLeast"/>
        </w:trPr>
        <w:tc>
          <w:tcPr>
            <w:tcW w:w="490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0413"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本年支出</w:t>
            </w:r>
          </w:p>
        </w:tc>
      </w:tr>
      <w:tr>
        <w:tblPrEx>
          <w:tblLayout w:type="fixed"/>
          <w:tblCellMar>
            <w:top w:w="0" w:type="dxa"/>
            <w:left w:w="0" w:type="dxa"/>
            <w:bottom w:w="0" w:type="dxa"/>
            <w:right w:w="0" w:type="dxa"/>
          </w:tblCellMar>
        </w:tblPrEx>
        <w:trPr>
          <w:trHeight w:val="339" w:hRule="atLeast"/>
        </w:trPr>
        <w:tc>
          <w:tcPr>
            <w:tcW w:w="129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61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科目名称</w:t>
            </w:r>
          </w:p>
        </w:tc>
        <w:tc>
          <w:tcPr>
            <w:tcW w:w="3463"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6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487"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Layout w:type="fixed"/>
          <w:tblCellMar>
            <w:top w:w="0" w:type="dxa"/>
            <w:left w:w="0" w:type="dxa"/>
            <w:bottom w:w="0" w:type="dxa"/>
            <w:right w:w="0" w:type="dxa"/>
          </w:tblCellMar>
        </w:tblPrEx>
        <w:trPr>
          <w:trHeight w:val="339" w:hRule="atLeast"/>
        </w:trPr>
        <w:tc>
          <w:tcPr>
            <w:tcW w:w="129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6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9" w:hRule="atLeast"/>
        </w:trPr>
        <w:tc>
          <w:tcPr>
            <w:tcW w:w="129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6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26" w:hRule="atLeast"/>
        </w:trPr>
        <w:tc>
          <w:tcPr>
            <w:tcW w:w="129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6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11" w:hRule="atLeast"/>
        </w:trPr>
        <w:tc>
          <w:tcPr>
            <w:tcW w:w="49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63"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34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34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488" w:hRule="atLeast"/>
        </w:trPr>
        <w:tc>
          <w:tcPr>
            <w:tcW w:w="129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36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3463"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34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34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hint="default" w:cs="宋体"/>
          <w:sz w:val="21"/>
          <w:szCs w:val="21"/>
        </w:rPr>
        <w:br w:type="page"/>
      </w:r>
    </w:p>
    <w:tbl>
      <w:tblPr>
        <w:tblStyle w:val="7"/>
        <w:tblW w:w="14130" w:type="dxa"/>
        <w:tblInd w:w="0" w:type="dxa"/>
        <w:tblLayout w:type="fixed"/>
        <w:tblCellMar>
          <w:top w:w="0" w:type="dxa"/>
          <w:left w:w="170" w:type="dxa"/>
          <w:bottom w:w="0" w:type="dxa"/>
          <w:right w:w="170" w:type="dxa"/>
        </w:tblCellMar>
      </w:tblPr>
      <w:tblGrid>
        <w:gridCol w:w="3176"/>
        <w:gridCol w:w="2416"/>
        <w:gridCol w:w="2374"/>
        <w:gridCol w:w="3671"/>
        <w:gridCol w:w="2493"/>
      </w:tblGrid>
      <w:tr>
        <w:tblPrEx>
          <w:tblLayout w:type="fixed"/>
          <w:tblCellMar>
            <w:top w:w="0" w:type="dxa"/>
            <w:left w:w="170" w:type="dxa"/>
            <w:bottom w:w="0" w:type="dxa"/>
            <w:right w:w="170" w:type="dxa"/>
          </w:tblCellMar>
        </w:tblPrEx>
        <w:trPr>
          <w:trHeight w:val="343" w:hRule="atLeast"/>
        </w:trPr>
        <w:tc>
          <w:tcPr>
            <w:tcW w:w="14130" w:type="dxa"/>
            <w:gridSpan w:val="5"/>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tblPrEx>
          <w:tblLayout w:type="fixed"/>
          <w:tblCellMar>
            <w:top w:w="0" w:type="dxa"/>
            <w:left w:w="170" w:type="dxa"/>
            <w:bottom w:w="0" w:type="dxa"/>
            <w:right w:w="170" w:type="dxa"/>
          </w:tblCellMar>
        </w:tblPrEx>
        <w:trPr>
          <w:trHeight w:val="244" w:hRule="atLeast"/>
        </w:trPr>
        <w:tc>
          <w:tcPr>
            <w:tcW w:w="3176" w:type="dxa"/>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2416" w:type="dxa"/>
            <w:shd w:val="clear" w:color="auto" w:fill="auto"/>
            <w:noWrap/>
            <w:tcMar>
              <w:top w:w="15" w:type="dxa"/>
              <w:left w:w="15" w:type="dxa"/>
              <w:right w:w="15" w:type="dxa"/>
            </w:tcMar>
            <w:vAlign w:val="bottom"/>
          </w:tcPr>
          <w:p>
            <w:pPr>
              <w:spacing w:line="280" w:lineRule="exact"/>
              <w:jc w:val="center"/>
              <w:rPr>
                <w:rFonts w:hint="default" w:cs="宋体"/>
                <w:color w:val="000000"/>
                <w:kern w:val="2"/>
                <w:sz w:val="20"/>
                <w:szCs w:val="20"/>
              </w:rPr>
            </w:pPr>
          </w:p>
        </w:tc>
        <w:tc>
          <w:tcPr>
            <w:tcW w:w="2374" w:type="dxa"/>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671" w:type="dxa"/>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2493" w:type="dxa"/>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tblPrEx>
          <w:tblLayout w:type="fixed"/>
          <w:tblCellMar>
            <w:top w:w="0" w:type="dxa"/>
            <w:left w:w="170" w:type="dxa"/>
            <w:bottom w:w="0" w:type="dxa"/>
            <w:right w:w="170" w:type="dxa"/>
          </w:tblCellMar>
        </w:tblPrEx>
        <w:trPr>
          <w:trHeight w:val="244" w:hRule="atLeast"/>
        </w:trPr>
        <w:tc>
          <w:tcPr>
            <w:tcW w:w="5592" w:type="dxa"/>
            <w:gridSpan w:val="2"/>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r>
              <w:rPr>
                <w:rFonts w:cs="宋体"/>
                <w:kern w:val="2"/>
                <w:sz w:val="20"/>
                <w:szCs w:val="20"/>
              </w:rPr>
              <w:t>单位</w:t>
            </w:r>
            <w:r>
              <w:rPr>
                <w:rFonts w:cs="宋体"/>
                <w:color w:val="000000"/>
                <w:kern w:val="2"/>
                <w:sz w:val="20"/>
                <w:szCs w:val="20"/>
              </w:rPr>
              <w:t>：</w:t>
            </w:r>
            <w:r>
              <w:rPr>
                <w:color w:val="000000"/>
                <w:sz w:val="20"/>
              </w:rPr>
              <w:t>垫江县基础教育质量监测中心</w:t>
            </w:r>
          </w:p>
        </w:tc>
        <w:tc>
          <w:tcPr>
            <w:tcW w:w="2374"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671"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2493"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tblPrEx>
          <w:tblLayout w:type="fixed"/>
          <w:tblCellMar>
            <w:top w:w="0" w:type="dxa"/>
            <w:left w:w="170" w:type="dxa"/>
            <w:bottom w:w="0" w:type="dxa"/>
            <w:right w:w="170" w:type="dxa"/>
          </w:tblCellMar>
        </w:tblPrEx>
        <w:trPr>
          <w:trHeight w:val="28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tblPrEx>
          <w:tblLayout w:type="fixed"/>
          <w:tblCellMar>
            <w:top w:w="0" w:type="dxa"/>
            <w:left w:w="170" w:type="dxa"/>
            <w:bottom w:w="0" w:type="dxa"/>
            <w:right w:w="170" w:type="dxa"/>
          </w:tblCellMar>
        </w:tblPrEx>
        <w:trPr>
          <w:trHeight w:val="28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86"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rPr>
                <w:rFonts w:hint="default" w:cs="宋体"/>
                <w:color w:val="000000"/>
                <w:kern w:val="2"/>
                <w:sz w:val="16"/>
                <w:szCs w:val="16"/>
              </w:rPr>
            </w:pP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jc w:val="right"/>
              <w:rPr>
                <w:rFonts w:hint="default" w:cs="宋体"/>
                <w:color w:val="000000"/>
                <w:kern w:val="2"/>
                <w:sz w:val="16"/>
                <w:szCs w:val="16"/>
              </w:rPr>
            </w:pPr>
          </w:p>
        </w:tc>
      </w:tr>
      <w:tr>
        <w:tblPrEx>
          <w:tblLayout w:type="fixed"/>
          <w:tblCellMar>
            <w:top w:w="0" w:type="dxa"/>
            <w:left w:w="170" w:type="dxa"/>
            <w:bottom w:w="0" w:type="dxa"/>
            <w:right w:w="170" w:type="dxa"/>
          </w:tblCellMar>
        </w:tblPrEx>
        <w:trPr>
          <w:trHeight w:val="389"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0.18</w:t>
            </w: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rPr>
                <w:rFonts w:hint="default" w:cs="宋体"/>
                <w:color w:val="000000"/>
                <w:kern w:val="2"/>
                <w:sz w:val="16"/>
                <w:szCs w:val="16"/>
              </w:rPr>
            </w:pP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jc w:val="right"/>
              <w:rPr>
                <w:rFonts w:hint="default" w:cs="宋体"/>
                <w:color w:val="000000"/>
                <w:kern w:val="2"/>
                <w:sz w:val="16"/>
                <w:szCs w:val="16"/>
              </w:rPr>
            </w:pPr>
          </w:p>
        </w:tc>
      </w:tr>
      <w:tr>
        <w:tblPrEx>
          <w:tblLayout w:type="fixed"/>
          <w:tblCellMar>
            <w:top w:w="0" w:type="dxa"/>
            <w:left w:w="170" w:type="dxa"/>
            <w:bottom w:w="0" w:type="dxa"/>
            <w:right w:w="170" w:type="dxa"/>
          </w:tblCellMar>
        </w:tblPrEx>
        <w:trPr>
          <w:trHeight w:val="389"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2.55</w:t>
            </w: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rPr>
                <w:rFonts w:hint="default" w:cs="宋体"/>
                <w:color w:val="000000"/>
                <w:sz w:val="16"/>
                <w:szCs w:val="16"/>
              </w:rPr>
            </w:pP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jc w:val="right"/>
              <w:rPr>
                <w:rFonts w:hint="default" w:cs="宋体"/>
                <w:color w:val="000000"/>
                <w:sz w:val="16"/>
                <w:szCs w:val="16"/>
              </w:rPr>
            </w:pPr>
          </w:p>
        </w:tc>
      </w:tr>
    </w:tbl>
    <w:p>
      <w:pPr>
        <w:rPr>
          <w:rFonts w:hint="default"/>
          <w:sz w:val="18"/>
          <w:szCs w:val="18"/>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Arial Unicode MS"/>
    <w:panose1 w:val="02000000000000000000"/>
    <w:charset w:val="86"/>
    <w:family w:val="script"/>
    <w:pitch w:val="default"/>
    <w:sig w:usb0="00000000" w:usb1="00000000" w:usb2="00000000" w:usb3="00000000" w:csb0="00000000" w:csb1="00000000"/>
  </w:font>
  <w:font w:name="方正仿宋_GBK">
    <w:altName w:val="Arial Unicode MS"/>
    <w:panose1 w:val="02000000000000000000"/>
    <w:charset w:val="86"/>
    <w:family w:val="script"/>
    <w:pitch w:val="default"/>
    <w:sig w:usb0="00000000" w:usb1="00000000" w:usb2="00000000" w:usb3="00000000" w:csb0="00000000" w:csb1="00000000"/>
  </w:font>
  <w:font w:name="楷体">
    <w:panose1 w:val="02010609060101010101"/>
    <w:charset w:val="86"/>
    <w:family w:val="modern"/>
    <w:pitch w:val="default"/>
    <w:sig w:usb0="800002BF" w:usb1="38CF7CFA" w:usb2="00000016" w:usb3="00000000" w:csb0="00040001" w:csb1="00000000"/>
  </w:font>
  <w:font w:name="方正楷体_GBK">
    <w:altName w:val="Arial Unicode MS"/>
    <w:panose1 w:val="02000000000000000000"/>
    <w:charset w:val="86"/>
    <w:family w:val="script"/>
    <w:pitch w:val="default"/>
    <w:sig w:usb0="00000000" w:usb1="00000000" w:usb2="00000000" w:usb3="00000000" w:csb0="00000000" w:csb1="00000000"/>
  </w:font>
  <w:font w:name="Cambria">
    <w:panose1 w:val="02040503050406030204"/>
    <w:charset w:val="00"/>
    <w:family w:val="roman"/>
    <w:pitch w:val="default"/>
    <w:sig w:usb0="E00006FF" w:usb1="420024FF" w:usb2="02000000" w:usb3="00000000" w:csb0="2000019F"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default"/>
      </w:rPr>
    </w:pPr>
    <w:r>
      <w:rPr>
        <w:rFonts w:hint="default"/>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weight="0.5pt" joinstyle="miter"/>
          <v:imagedata o:title=""/>
          <o:lock v:ext="edit"/>
          <v:textbox inset="0mm,0mm,0mm,0mm" style="mso-fit-shape-to-text:t;">
            <w:txbxContent>
              <w:p>
                <w:pPr>
                  <w:pStyle w:val="3"/>
                  <w:rPr>
                    <w:rFonts w:hint="default"/>
                  </w:rPr>
                </w:pPr>
                <w:r>
                  <w:fldChar w:fldCharType="begin"/>
                </w:r>
                <w:r>
                  <w:instrText xml:space="preserve"> PAGE  \* MERGEFORMAT </w:instrText>
                </w:r>
                <w:r>
                  <w:fldChar w:fldCharType="separate"/>
                </w:r>
                <w:r>
                  <w:rPr>
                    <w:rFonts w:hint="default"/>
                  </w:rPr>
                  <w:t>- 7 -</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both"/>
      <w:rPr>
        <w:rFonts w:hint="default"/>
      </w:rPr>
    </w:pPr>
    <w:r>
      <w:rPr>
        <w:rFonts w:hint="default"/>
      </w:rPr>
      <w:pict>
        <v:shape id="_x0000_s4098" o:spid="_x0000_s4098" o:spt="202" type="#_x0000_t202" style="position:absolute;left:0pt;margin-top:0pt;height:144pt;width:144pt;mso-position-horizontal:center;mso-position-horizontal-relative:margin;mso-wrap-style:none;z-index:251661312;mso-width-relative:page;mso-height-relative:page;" filled="f" stroked="f" coordsize="21600,21600" o:allowoverlap="f">
          <v:path/>
          <v:fill on="f" focussize="0,0"/>
          <v:stroke on="f" weight="0.5pt" joinstyle="miter"/>
          <v:imagedata o:title=""/>
          <o:lock v:ext="edit"/>
          <v:textbox inset="0mm,0mm,0mm,0mm" style="mso-fit-shape-to-text:t;">
            <w:txbxContent>
              <w:p>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23 -</w:t>
                </w:r>
                <w:r>
                  <w:fldChar w:fldCharType="end"/>
                </w:r>
                <w:r>
                  <w:t xml:space="preserve"> </w:t>
                </w:r>
              </w:p>
            </w:txbxContent>
          </v:textbox>
        </v:shape>
      </w:pict>
    </w:r>
    <w:r>
      <w:rPr>
        <w:rFonts w:hint="default"/>
      </w:rPr>
      <w:pict>
        <v:shape id="_x0000_s4099" o:spid="_x0000_s4099" o:spt="202" type="#_x0000_t202" style="position:absolute;left:0pt;margin-top:1160.4pt;height:17.4pt;width:144pt;mso-position-horizontal:center;mso-position-horizontal-relative:margin;mso-position-vertical-relative:page;mso-wrap-style:none;z-index:251660288;mso-width-relative:page;mso-height-relative:page;" filled="f" stroked="f" coordsize="21600,21600" o:allowoverlap="f">
          <v:path/>
          <v:fill on="f" focussize="0,0"/>
          <v:stroke on="f" weight="0.5pt" joinstyle="miter"/>
          <v:imagedata o:title=""/>
          <o:lock v:ext="edit"/>
          <v:textbox inset="0mm,0mm,0mm,0mm">
            <w:txbxContent>
              <w:p>
                <w:pPr>
                  <w:pStyle w:val="3"/>
                  <w:jc w:val="both"/>
                  <w:rPr>
                    <w:rFonts w:hint="default" w:cs="宋体"/>
                  </w:rPr>
                </w:pPr>
                <w:r>
                  <w:rPr>
                    <w:rFonts w:cs="宋体"/>
                  </w:rPr>
                  <w:t>— 27.1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GQwYWQ1YTE0ZDA0NjgxYzlhMjZlMDExNTFmMWI3MmEifQ=="/>
  </w:docVars>
  <w:rsids>
    <w:rsidRoot w:val="00B03CCD"/>
    <w:rsid w:val="000239C6"/>
    <w:rsid w:val="001D3BB7"/>
    <w:rsid w:val="00236418"/>
    <w:rsid w:val="002B254B"/>
    <w:rsid w:val="0034050A"/>
    <w:rsid w:val="0044504F"/>
    <w:rsid w:val="00466C9B"/>
    <w:rsid w:val="00486CFC"/>
    <w:rsid w:val="00491DDD"/>
    <w:rsid w:val="00550ABE"/>
    <w:rsid w:val="00623A85"/>
    <w:rsid w:val="00770383"/>
    <w:rsid w:val="007819D4"/>
    <w:rsid w:val="007B419D"/>
    <w:rsid w:val="007B7C4B"/>
    <w:rsid w:val="007D3D39"/>
    <w:rsid w:val="00984C6A"/>
    <w:rsid w:val="00994AF7"/>
    <w:rsid w:val="009B67B8"/>
    <w:rsid w:val="009C14C9"/>
    <w:rsid w:val="009D2B67"/>
    <w:rsid w:val="009E1452"/>
    <w:rsid w:val="009E437F"/>
    <w:rsid w:val="00A566F9"/>
    <w:rsid w:val="00AA17BD"/>
    <w:rsid w:val="00AF2751"/>
    <w:rsid w:val="00B03CCD"/>
    <w:rsid w:val="00B625E1"/>
    <w:rsid w:val="00BB415F"/>
    <w:rsid w:val="00BE2B89"/>
    <w:rsid w:val="00BF0D89"/>
    <w:rsid w:val="00C10E9E"/>
    <w:rsid w:val="00C20C3E"/>
    <w:rsid w:val="00C5163E"/>
    <w:rsid w:val="00CD5F8D"/>
    <w:rsid w:val="00CE6309"/>
    <w:rsid w:val="00CF2ACF"/>
    <w:rsid w:val="00D03AAF"/>
    <w:rsid w:val="00D809A6"/>
    <w:rsid w:val="00DD0539"/>
    <w:rsid w:val="00E059ED"/>
    <w:rsid w:val="00E07662"/>
    <w:rsid w:val="00E368E9"/>
    <w:rsid w:val="00E44809"/>
    <w:rsid w:val="00EE1E33"/>
    <w:rsid w:val="00F73F90"/>
    <w:rsid w:val="00FB4B3B"/>
    <w:rsid w:val="01474EBF"/>
    <w:rsid w:val="01F3521E"/>
    <w:rsid w:val="03B87EA0"/>
    <w:rsid w:val="03E3214F"/>
    <w:rsid w:val="044C50BA"/>
    <w:rsid w:val="05BC6D49"/>
    <w:rsid w:val="06194FF1"/>
    <w:rsid w:val="06A2550B"/>
    <w:rsid w:val="06F80EE2"/>
    <w:rsid w:val="07001CCA"/>
    <w:rsid w:val="075678DB"/>
    <w:rsid w:val="077B465F"/>
    <w:rsid w:val="079D7CC7"/>
    <w:rsid w:val="08051BCA"/>
    <w:rsid w:val="086C12F4"/>
    <w:rsid w:val="08705944"/>
    <w:rsid w:val="08BA052C"/>
    <w:rsid w:val="08DB07BA"/>
    <w:rsid w:val="0969353F"/>
    <w:rsid w:val="098305D0"/>
    <w:rsid w:val="09B1218B"/>
    <w:rsid w:val="0A3317EA"/>
    <w:rsid w:val="0A5C4B69"/>
    <w:rsid w:val="0A86124A"/>
    <w:rsid w:val="0AB54CC0"/>
    <w:rsid w:val="0B1618E0"/>
    <w:rsid w:val="0B9335CE"/>
    <w:rsid w:val="0BF2311A"/>
    <w:rsid w:val="0C7927C4"/>
    <w:rsid w:val="0C9B098C"/>
    <w:rsid w:val="0D673E11"/>
    <w:rsid w:val="0DDA54E4"/>
    <w:rsid w:val="0E3A5F83"/>
    <w:rsid w:val="0F836721"/>
    <w:rsid w:val="0FA25D96"/>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4370EA1"/>
    <w:rsid w:val="163A6CEE"/>
    <w:rsid w:val="173708E3"/>
    <w:rsid w:val="17C374FC"/>
    <w:rsid w:val="182E4AB6"/>
    <w:rsid w:val="189079DC"/>
    <w:rsid w:val="189B0D0B"/>
    <w:rsid w:val="18B43F7C"/>
    <w:rsid w:val="191C433B"/>
    <w:rsid w:val="194A1770"/>
    <w:rsid w:val="19B906A4"/>
    <w:rsid w:val="1B6F15B6"/>
    <w:rsid w:val="1BAA2EDC"/>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642787"/>
    <w:rsid w:val="21556F04"/>
    <w:rsid w:val="22403BD3"/>
    <w:rsid w:val="22AD3177"/>
    <w:rsid w:val="235417B6"/>
    <w:rsid w:val="24B92327"/>
    <w:rsid w:val="24C14514"/>
    <w:rsid w:val="252D4D73"/>
    <w:rsid w:val="2533755C"/>
    <w:rsid w:val="25791755"/>
    <w:rsid w:val="26396DF4"/>
    <w:rsid w:val="27167136"/>
    <w:rsid w:val="271B442C"/>
    <w:rsid w:val="27B23302"/>
    <w:rsid w:val="27FE3A54"/>
    <w:rsid w:val="29310A5F"/>
    <w:rsid w:val="29C37A35"/>
    <w:rsid w:val="2A076083"/>
    <w:rsid w:val="2A4B1F72"/>
    <w:rsid w:val="2A73162E"/>
    <w:rsid w:val="2B167953"/>
    <w:rsid w:val="2B200583"/>
    <w:rsid w:val="2B2729C0"/>
    <w:rsid w:val="2B8209DE"/>
    <w:rsid w:val="2B821C91"/>
    <w:rsid w:val="2BF81A22"/>
    <w:rsid w:val="2C636760"/>
    <w:rsid w:val="2C6762A3"/>
    <w:rsid w:val="2DA66471"/>
    <w:rsid w:val="2FCA4B37"/>
    <w:rsid w:val="2FE029D7"/>
    <w:rsid w:val="2FF06E00"/>
    <w:rsid w:val="30586FEC"/>
    <w:rsid w:val="30BE67FD"/>
    <w:rsid w:val="315F0B22"/>
    <w:rsid w:val="31A15828"/>
    <w:rsid w:val="31D84415"/>
    <w:rsid w:val="32285F6F"/>
    <w:rsid w:val="32770556"/>
    <w:rsid w:val="329C0913"/>
    <w:rsid w:val="32AA0460"/>
    <w:rsid w:val="3337290D"/>
    <w:rsid w:val="33E31118"/>
    <w:rsid w:val="33EF7674"/>
    <w:rsid w:val="342D7BC6"/>
    <w:rsid w:val="352930DB"/>
    <w:rsid w:val="35573069"/>
    <w:rsid w:val="355F6038"/>
    <w:rsid w:val="358C217E"/>
    <w:rsid w:val="36C9128A"/>
    <w:rsid w:val="37841E99"/>
    <w:rsid w:val="37BF1123"/>
    <w:rsid w:val="383C3F15"/>
    <w:rsid w:val="38BE4696"/>
    <w:rsid w:val="3939115E"/>
    <w:rsid w:val="39B82A39"/>
    <w:rsid w:val="39C42CA8"/>
    <w:rsid w:val="39DC4FD6"/>
    <w:rsid w:val="39F03D7A"/>
    <w:rsid w:val="39F33306"/>
    <w:rsid w:val="3A2C1C67"/>
    <w:rsid w:val="3A6A77C9"/>
    <w:rsid w:val="3ADD7F09"/>
    <w:rsid w:val="3B1705E5"/>
    <w:rsid w:val="3B18334B"/>
    <w:rsid w:val="3B36794F"/>
    <w:rsid w:val="3B6F6EE0"/>
    <w:rsid w:val="3C566AD6"/>
    <w:rsid w:val="3C594871"/>
    <w:rsid w:val="3C6A5B02"/>
    <w:rsid w:val="3D083B3A"/>
    <w:rsid w:val="3D2757A1"/>
    <w:rsid w:val="3D3D4FC4"/>
    <w:rsid w:val="3DDF3AB1"/>
    <w:rsid w:val="3E1D0952"/>
    <w:rsid w:val="3E42660A"/>
    <w:rsid w:val="3E7555B1"/>
    <w:rsid w:val="3E787ED9"/>
    <w:rsid w:val="3F032E93"/>
    <w:rsid w:val="3F0527E5"/>
    <w:rsid w:val="3F4C52C6"/>
    <w:rsid w:val="3F694D83"/>
    <w:rsid w:val="3F885DCC"/>
    <w:rsid w:val="3F8E42AD"/>
    <w:rsid w:val="3FCD675E"/>
    <w:rsid w:val="4004000C"/>
    <w:rsid w:val="40760DD1"/>
    <w:rsid w:val="40BD5482"/>
    <w:rsid w:val="411B6CE5"/>
    <w:rsid w:val="412070D7"/>
    <w:rsid w:val="41314E40"/>
    <w:rsid w:val="41E0734B"/>
    <w:rsid w:val="426C1EA8"/>
    <w:rsid w:val="42736402"/>
    <w:rsid w:val="42E86A87"/>
    <w:rsid w:val="43307B09"/>
    <w:rsid w:val="439A3EB9"/>
    <w:rsid w:val="43BB152F"/>
    <w:rsid w:val="44C37687"/>
    <w:rsid w:val="45CB699A"/>
    <w:rsid w:val="46423C66"/>
    <w:rsid w:val="465B470D"/>
    <w:rsid w:val="469D6AD4"/>
    <w:rsid w:val="471E6C84"/>
    <w:rsid w:val="4748792B"/>
    <w:rsid w:val="475D719D"/>
    <w:rsid w:val="47674801"/>
    <w:rsid w:val="48225EF7"/>
    <w:rsid w:val="488F422B"/>
    <w:rsid w:val="48E36915"/>
    <w:rsid w:val="48EB6572"/>
    <w:rsid w:val="495C4A24"/>
    <w:rsid w:val="497135DF"/>
    <w:rsid w:val="4A263DF2"/>
    <w:rsid w:val="4A2F278B"/>
    <w:rsid w:val="4A6F6675"/>
    <w:rsid w:val="4B135857"/>
    <w:rsid w:val="4B7951CB"/>
    <w:rsid w:val="4B7C315C"/>
    <w:rsid w:val="4D1F53CA"/>
    <w:rsid w:val="4DAC4ACA"/>
    <w:rsid w:val="4DBE01D2"/>
    <w:rsid w:val="4EFD467F"/>
    <w:rsid w:val="4F0C6BA3"/>
    <w:rsid w:val="4F186D58"/>
    <w:rsid w:val="504B6EAA"/>
    <w:rsid w:val="50F06B6E"/>
    <w:rsid w:val="517E7B09"/>
    <w:rsid w:val="51D21804"/>
    <w:rsid w:val="52234D33"/>
    <w:rsid w:val="522F6E0C"/>
    <w:rsid w:val="52463BA1"/>
    <w:rsid w:val="52F163D4"/>
    <w:rsid w:val="531A2DB4"/>
    <w:rsid w:val="53C0244D"/>
    <w:rsid w:val="53DD4D4E"/>
    <w:rsid w:val="53E578CE"/>
    <w:rsid w:val="541330F0"/>
    <w:rsid w:val="54272666"/>
    <w:rsid w:val="543B029D"/>
    <w:rsid w:val="54861779"/>
    <w:rsid w:val="55084A4C"/>
    <w:rsid w:val="552256E1"/>
    <w:rsid w:val="554E5773"/>
    <w:rsid w:val="555829E0"/>
    <w:rsid w:val="555A3CBC"/>
    <w:rsid w:val="5582012B"/>
    <w:rsid w:val="558E4E05"/>
    <w:rsid w:val="55BE2E85"/>
    <w:rsid w:val="56530F5D"/>
    <w:rsid w:val="567700D3"/>
    <w:rsid w:val="56FF7E9E"/>
    <w:rsid w:val="578867FC"/>
    <w:rsid w:val="5842572D"/>
    <w:rsid w:val="5A3B59D6"/>
    <w:rsid w:val="5AD134D8"/>
    <w:rsid w:val="5BF41F67"/>
    <w:rsid w:val="5C263CE4"/>
    <w:rsid w:val="5C5D2777"/>
    <w:rsid w:val="5CF66BF3"/>
    <w:rsid w:val="5D290C69"/>
    <w:rsid w:val="5DA80C2C"/>
    <w:rsid w:val="5F2D4A41"/>
    <w:rsid w:val="60C74F6C"/>
    <w:rsid w:val="61015958"/>
    <w:rsid w:val="61025A59"/>
    <w:rsid w:val="613D5BBC"/>
    <w:rsid w:val="61536C39"/>
    <w:rsid w:val="62944DD7"/>
    <w:rsid w:val="6319381F"/>
    <w:rsid w:val="63C25DC5"/>
    <w:rsid w:val="63C62057"/>
    <w:rsid w:val="64571EF5"/>
    <w:rsid w:val="64FB113D"/>
    <w:rsid w:val="656152C6"/>
    <w:rsid w:val="6587477F"/>
    <w:rsid w:val="658C3A08"/>
    <w:rsid w:val="65C031CA"/>
    <w:rsid w:val="65CE6852"/>
    <w:rsid w:val="66267C04"/>
    <w:rsid w:val="663F505A"/>
    <w:rsid w:val="666C2D2F"/>
    <w:rsid w:val="66AF5D7C"/>
    <w:rsid w:val="66EE5541"/>
    <w:rsid w:val="67924660"/>
    <w:rsid w:val="68407834"/>
    <w:rsid w:val="6883293E"/>
    <w:rsid w:val="688412AD"/>
    <w:rsid w:val="68996137"/>
    <w:rsid w:val="68EB1B71"/>
    <w:rsid w:val="696C0310"/>
    <w:rsid w:val="6A6C7940"/>
    <w:rsid w:val="6A9F1565"/>
    <w:rsid w:val="6AAD2300"/>
    <w:rsid w:val="6B474EF5"/>
    <w:rsid w:val="6BC938E5"/>
    <w:rsid w:val="6C0A5AC5"/>
    <w:rsid w:val="6C560CAE"/>
    <w:rsid w:val="6C576495"/>
    <w:rsid w:val="6D903FF5"/>
    <w:rsid w:val="6DA955B8"/>
    <w:rsid w:val="6DE346AB"/>
    <w:rsid w:val="6DE5391A"/>
    <w:rsid w:val="6EFD1324"/>
    <w:rsid w:val="6F5A53AC"/>
    <w:rsid w:val="6FAC003D"/>
    <w:rsid w:val="6FD926BF"/>
    <w:rsid w:val="6FE55E12"/>
    <w:rsid w:val="6FFB2E76"/>
    <w:rsid w:val="708F6F7F"/>
    <w:rsid w:val="70D94BD3"/>
    <w:rsid w:val="71574775"/>
    <w:rsid w:val="717E7B07"/>
    <w:rsid w:val="71C34D91"/>
    <w:rsid w:val="72DB435C"/>
    <w:rsid w:val="72E2613A"/>
    <w:rsid w:val="72F771F4"/>
    <w:rsid w:val="73934AD2"/>
    <w:rsid w:val="750837F0"/>
    <w:rsid w:val="754758CF"/>
    <w:rsid w:val="75595ECD"/>
    <w:rsid w:val="764F62AB"/>
    <w:rsid w:val="765C45EC"/>
    <w:rsid w:val="768A7619"/>
    <w:rsid w:val="76BD23AB"/>
    <w:rsid w:val="772E1EBA"/>
    <w:rsid w:val="781926BC"/>
    <w:rsid w:val="796D60A4"/>
    <w:rsid w:val="79A031D5"/>
    <w:rsid w:val="79B47FDF"/>
    <w:rsid w:val="79E569A9"/>
    <w:rsid w:val="7A1525F7"/>
    <w:rsid w:val="7B420052"/>
    <w:rsid w:val="7BD06A28"/>
    <w:rsid w:val="7C3A7C0B"/>
    <w:rsid w:val="7C5248E4"/>
    <w:rsid w:val="7C566698"/>
    <w:rsid w:val="7C5866A3"/>
    <w:rsid w:val="7D7406BB"/>
    <w:rsid w:val="7DE94331"/>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15"/>
    <w:qFormat/>
    <w:uiPriority w:val="0"/>
    <w:rPr>
      <w:sz w:val="18"/>
      <w:szCs w:val="18"/>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10">
    <w:name w:val="Strong"/>
    <w:qFormat/>
    <w:uiPriority w:val="0"/>
    <w:rPr>
      <w:b/>
    </w:r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3">
    <w:name w:val="21"/>
    <w:basedOn w:val="9"/>
    <w:qFormat/>
    <w:uiPriority w:val="0"/>
    <w:rPr>
      <w:rFonts w:hint="default" w:ascii="Wingdings" w:hAnsi="Wingdings" w:cs="Wingdings"/>
      <w:b/>
      <w:bCs/>
    </w:rPr>
  </w:style>
  <w:style w:type="paragraph" w:customStyle="1" w:styleId="14">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5">
    <w:name w:val="批注框文本 Char"/>
    <w:basedOn w:val="9"/>
    <w:link w:val="2"/>
    <w:qFormat/>
    <w:uiPriority w:val="0"/>
    <w:rPr>
      <w:rFonts w:ascii="宋体" w:hAnsi="宋体"/>
      <w:sz w:val="18"/>
      <w:szCs w:val="18"/>
    </w:rPr>
  </w:style>
  <w:style w:type="paragraph" w:customStyle="1" w:styleId="16">
    <w:name w:val="列出段落3"/>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1.emf"/><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22</Pages>
  <Words>8380</Words>
  <Characters>10660</Characters>
  <Lines>95</Lines>
  <Paragraphs>27</Paragraphs>
  <TotalTime>5</TotalTime>
  <ScaleCrop>false</ScaleCrop>
  <LinksUpToDate>false</LinksUpToDate>
  <CharactersWithSpaces>11702</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Administrator</cp:lastModifiedBy>
  <dcterms:modified xsi:type="dcterms:W3CDTF">2025-09-22T07:03:08Z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BB46EABDBB2749749395447164B066B3_12</vt:lpwstr>
  </property>
  <property fmtid="{D5CDD505-2E9C-101B-9397-08002B2CF9AE}" pid="4" name="KSOTemplateDocerSaveRecord">
    <vt:lpwstr>eyJoZGlkIjoiNjM0Zjk5YTc4NjQ1NmYyOGViZjRkNWIzZWJhYTE3YWEiLCJ1c2VySWQiOiIzODk0NTM2OTAifQ==</vt:lpwstr>
  </property>
</Properties>
</file>