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垫江县教委示范幼儿园</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atLeast"/>
        <w:ind w:firstLine="640" w:firstLineChars="200"/>
        <w:rPr>
          <w:rFonts w:hint="default" w:ascii="方正黑体_GBK" w:hAnsi="黑体" w:eastAsia="方正黑体_GBK" w:cs="仿宋_GB2312"/>
          <w:sz w:val="32"/>
          <w:szCs w:val="32"/>
        </w:rPr>
      </w:pPr>
    </w:p>
    <w:p>
      <w:pPr>
        <w:spacing w:line="600" w:lineRule="atLeas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一、单位基本情况</w:t>
      </w:r>
    </w:p>
    <w:p>
      <w:pPr>
        <w:spacing w:line="600" w:lineRule="atLeast"/>
        <w:ind w:firstLine="643" w:firstLineChars="200"/>
        <w:rPr>
          <w:rFonts w:hint="default" w:eastAsia="方正楷体_GBK"/>
          <w:b/>
          <w:bCs/>
          <w:sz w:val="32"/>
          <w:szCs w:val="32"/>
        </w:rPr>
      </w:pPr>
      <w:r>
        <w:rPr>
          <w:rFonts w:eastAsia="方正楷体_GBK"/>
          <w:b/>
          <w:bCs/>
          <w:sz w:val="32"/>
          <w:szCs w:val="32"/>
        </w:rPr>
        <w:t>（一）职能职责</w:t>
      </w:r>
    </w:p>
    <w:p>
      <w:pPr>
        <w:spacing w:line="600" w:lineRule="atLeast"/>
        <w:ind w:firstLine="640" w:firstLineChars="200"/>
        <w:rPr>
          <w:rFonts w:hint="default" w:eastAsia="方正仿宋_GBK"/>
          <w:sz w:val="32"/>
          <w:szCs w:val="32"/>
        </w:rPr>
      </w:pPr>
      <w:r>
        <w:rPr>
          <w:rFonts w:eastAsia="方正仿宋_GBK"/>
          <w:sz w:val="32"/>
          <w:szCs w:val="32"/>
        </w:rPr>
        <w:t>负责学前儿童教育与保育工作。</w:t>
      </w:r>
    </w:p>
    <w:p>
      <w:pPr>
        <w:spacing w:line="600" w:lineRule="atLeast"/>
        <w:ind w:firstLine="643" w:firstLineChars="200"/>
        <w:rPr>
          <w:rFonts w:hint="default" w:eastAsia="方正楷体_GBK"/>
          <w:b/>
          <w:sz w:val="32"/>
          <w:szCs w:val="32"/>
        </w:rPr>
      </w:pPr>
      <w:r>
        <w:rPr>
          <w:rFonts w:hAnsi="方正楷体_GBK" w:eastAsia="方正楷体_GBK"/>
          <w:b/>
          <w:sz w:val="32"/>
          <w:szCs w:val="32"/>
        </w:rPr>
        <w:t>（二）机构设置</w:t>
      </w:r>
    </w:p>
    <w:p>
      <w:pPr>
        <w:pStyle w:val="6"/>
        <w:shd w:val="clear" w:color="auto" w:fill="FFFFFF"/>
        <w:spacing w:before="0" w:beforeAutospacing="0" w:after="0" w:afterAutospacing="0" w:line="600" w:lineRule="atLeast"/>
        <w:ind w:firstLine="640" w:firstLineChars="200"/>
        <w:rPr>
          <w:rFonts w:hint="default" w:eastAsia="方正仿宋_GBK"/>
          <w:sz w:val="32"/>
          <w:szCs w:val="32"/>
        </w:rPr>
      </w:pPr>
      <w:r>
        <w:rPr>
          <w:rFonts w:eastAsia="方正仿宋_GBK"/>
          <w:sz w:val="32"/>
          <w:szCs w:val="32"/>
        </w:rPr>
        <w:t>学校单位领导职数4名(园长1名、副园长3名)，内设机构领导职数2名，内设教务处、后勤处。</w:t>
      </w:r>
    </w:p>
    <w:p>
      <w:pPr>
        <w:spacing w:line="600" w:lineRule="atLeas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二、单位决算收支情况说明</w:t>
      </w:r>
    </w:p>
    <w:p>
      <w:pPr>
        <w:pStyle w:val="11"/>
        <w:autoSpaceDE w:val="0"/>
        <w:spacing w:line="600" w:lineRule="atLeas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atLeas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2024年度收入总计1450.05万元，支出总计</w:t>
      </w:r>
      <w:r>
        <w:rPr>
          <w:rFonts w:ascii="方正仿宋_GBK" w:hAnsi="方正仿宋_GBK" w:eastAsia="方正仿宋_GBK" w:cs="方正仿宋_GBK"/>
          <w:sz w:val="32"/>
          <w:szCs w:val="32"/>
        </w:rPr>
        <w:t>1450.05</w:t>
      </w:r>
      <w:r>
        <w:rPr>
          <w:rFonts w:ascii="方正仿宋_GBK" w:hAnsi="方正仿宋_GBK" w:eastAsia="方正仿宋_GBK" w:cs="方正仿宋_GBK"/>
          <w:sz w:val="32"/>
          <w:szCs w:val="32"/>
          <w:shd w:val="clear" w:color="auto" w:fill="FFFFFF"/>
        </w:rPr>
        <w:t>万元。收、支与2023年度相比，减少100.94万元，下降6.51%，主要原因是2023年清算补发以前年度超额绩效和健康休养费。</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2024年度收入合计1415.09万元，与2023年度相比，增加4.29万元，增长0.30%，主要原因是幼儿人数增加导致保教费收入增加。其中：财政拨款收入</w:t>
      </w:r>
      <w:r>
        <w:rPr>
          <w:rFonts w:ascii="方正仿宋_GBK" w:hAnsi="方正仿宋_GBK" w:eastAsia="方正仿宋_GBK" w:cs="方正仿宋_GBK"/>
          <w:sz w:val="32"/>
          <w:szCs w:val="32"/>
        </w:rPr>
        <w:t>1031.39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72.89</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299.74</w:t>
      </w:r>
      <w:r>
        <w:rPr>
          <w:rFonts w:ascii="方正仿宋_GBK" w:hAnsi="方正仿宋_GBK" w:eastAsia="方正仿宋_GBK" w:cs="方正仿宋_GBK"/>
          <w:sz w:val="32"/>
          <w:szCs w:val="32"/>
          <w:shd w:val="clear" w:color="auto" w:fill="FFFFFF"/>
        </w:rPr>
        <w:t>万元，占21.18%；经营收入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83.95</w:t>
      </w:r>
      <w:r>
        <w:rPr>
          <w:rFonts w:ascii="方正仿宋_GBK" w:hAnsi="方正仿宋_GBK" w:eastAsia="方正仿宋_GBK" w:cs="方正仿宋_GBK"/>
          <w:sz w:val="32"/>
          <w:szCs w:val="32"/>
          <w:shd w:val="clear" w:color="auto" w:fill="FFFFFF"/>
        </w:rPr>
        <w:t>万元，占5.93%。此外，使用非财政拨款结余和专用结余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34.96</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1420.87</w:t>
      </w:r>
      <w:r>
        <w:rPr>
          <w:rFonts w:ascii="方正仿宋_GBK" w:hAnsi="方正仿宋_GBK" w:eastAsia="方正仿宋_GBK" w:cs="方正仿宋_GBK"/>
          <w:sz w:val="32"/>
          <w:szCs w:val="32"/>
          <w:shd w:val="clear" w:color="auto" w:fill="FFFFFF"/>
        </w:rPr>
        <w:t>万元，与2023年度相比，减少5.54万元，下降0.</w:t>
      </w:r>
      <w:r>
        <w:rPr>
          <w:rFonts w:hint="eastAsia" w:ascii="方正仿宋_GBK" w:hAnsi="方正仿宋_GBK" w:eastAsia="方正仿宋_GBK" w:cs="方正仿宋_GBK"/>
          <w:sz w:val="32"/>
          <w:szCs w:val="32"/>
          <w:shd w:val="clear" w:color="auto" w:fill="FFFFFF"/>
          <w:lang w:val="en-US" w:eastAsia="zh-CN"/>
        </w:rPr>
        <w:t>40</w:t>
      </w:r>
      <w:r>
        <w:rPr>
          <w:rFonts w:ascii="方正仿宋_GBK" w:hAnsi="方正仿宋_GBK" w:eastAsia="方正仿宋_GBK" w:cs="方正仿宋_GBK"/>
          <w:sz w:val="32"/>
          <w:szCs w:val="32"/>
          <w:shd w:val="clear" w:color="auto" w:fill="FFFFFF"/>
        </w:rPr>
        <w:t>%，主要原因是教师人数减少1人所致。其中：基本支出</w:t>
      </w:r>
      <w:r>
        <w:rPr>
          <w:rFonts w:ascii="方正仿宋_GBK" w:hAnsi="方正仿宋_GBK" w:eastAsia="方正仿宋_GBK" w:cs="方正仿宋_GBK"/>
          <w:sz w:val="32"/>
          <w:szCs w:val="32"/>
        </w:rPr>
        <w:t>1050.23</w:t>
      </w:r>
      <w:r>
        <w:rPr>
          <w:rFonts w:ascii="方正仿宋_GBK" w:hAnsi="方正仿宋_GBK" w:eastAsia="方正仿宋_GBK" w:cs="方正仿宋_GBK"/>
          <w:sz w:val="32"/>
          <w:szCs w:val="32"/>
          <w:shd w:val="clear" w:color="auto" w:fill="FFFFFF"/>
        </w:rPr>
        <w:t>万元，占73.91%；项目支出</w:t>
      </w:r>
      <w:r>
        <w:rPr>
          <w:rFonts w:ascii="方正仿宋_GBK" w:hAnsi="方正仿宋_GBK" w:eastAsia="方正仿宋_GBK" w:cs="方正仿宋_GBK"/>
          <w:sz w:val="32"/>
          <w:szCs w:val="32"/>
        </w:rPr>
        <w:t>370.64</w:t>
      </w:r>
      <w:r>
        <w:rPr>
          <w:rFonts w:ascii="方正仿宋_GBK" w:hAnsi="方正仿宋_GBK" w:eastAsia="方正仿宋_GBK" w:cs="方正仿宋_GBK"/>
          <w:sz w:val="32"/>
          <w:szCs w:val="32"/>
          <w:shd w:val="clear" w:color="auto" w:fill="FFFFFF"/>
        </w:rPr>
        <w:t>万元，占26.09%；经营支出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29.17</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atLeas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2024年度财政拨款收、支总计1031.39万元。与2023年相比，财政拨款收、支总计各减少12.32万元，下降1.</w:t>
      </w:r>
      <w:r>
        <w:rPr>
          <w:rFonts w:hint="eastAsia" w:ascii="方正仿宋_GBK" w:hAnsi="方正仿宋_GBK" w:eastAsia="方正仿宋_GBK" w:cs="方正仿宋_GBK"/>
          <w:sz w:val="32"/>
          <w:szCs w:val="32"/>
          <w:shd w:val="clear" w:color="auto" w:fill="FFFFFF"/>
          <w:lang w:val="en-US" w:eastAsia="zh-CN"/>
        </w:rPr>
        <w:t>20</w:t>
      </w:r>
      <w:r>
        <w:rPr>
          <w:rFonts w:ascii="方正仿宋_GBK" w:hAnsi="方正仿宋_GBK" w:eastAsia="方正仿宋_GBK" w:cs="方正仿宋_GBK"/>
          <w:sz w:val="32"/>
          <w:szCs w:val="32"/>
          <w:shd w:val="clear" w:color="auto" w:fill="FFFFFF"/>
        </w:rPr>
        <w:t>%。主要原因是教师人数减少1人所致。</w:t>
      </w:r>
    </w:p>
    <w:p>
      <w:pPr>
        <w:pStyle w:val="11"/>
        <w:autoSpaceDE w:val="0"/>
        <w:spacing w:line="600" w:lineRule="atLeas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1031.39</w:t>
      </w:r>
      <w:r>
        <w:rPr>
          <w:rFonts w:ascii="方正仿宋_GBK" w:hAnsi="方正仿宋_GBK" w:eastAsia="方正仿宋_GBK" w:cs="方正仿宋_GBK"/>
          <w:sz w:val="32"/>
          <w:szCs w:val="32"/>
          <w:shd w:val="clear" w:color="auto" w:fill="FFFFFF"/>
        </w:rPr>
        <w:t>万元，与2023年度相比，减少12.32万元，下降1.18%。主要原因是教师人数减少1人所致。较年初预算数增加184.86万元，增长21.84%。主要原因是超额绩效纳入养老保险和职业年金基数增加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1031.39</w:t>
      </w:r>
      <w:r>
        <w:rPr>
          <w:rFonts w:ascii="方正仿宋_GBK" w:hAnsi="方正仿宋_GBK" w:eastAsia="方正仿宋_GBK" w:cs="方正仿宋_GBK"/>
          <w:sz w:val="32"/>
          <w:szCs w:val="32"/>
          <w:shd w:val="clear" w:color="auto" w:fill="FFFFFF"/>
        </w:rPr>
        <w:t>万元，与2023年度相比，减少12.32万元，下降1.</w:t>
      </w:r>
      <w:r>
        <w:rPr>
          <w:rFonts w:hint="eastAsia" w:ascii="方正仿宋_GBK" w:hAnsi="方正仿宋_GBK" w:eastAsia="方正仿宋_GBK" w:cs="方正仿宋_GBK"/>
          <w:sz w:val="32"/>
          <w:szCs w:val="32"/>
          <w:shd w:val="clear" w:color="auto" w:fill="FFFFFF"/>
          <w:lang w:val="en-US" w:eastAsia="zh-CN"/>
        </w:rPr>
        <w:t>20</w:t>
      </w:r>
      <w:r>
        <w:rPr>
          <w:rFonts w:ascii="方正仿宋_GBK" w:hAnsi="方正仿宋_GBK" w:eastAsia="方正仿宋_GBK" w:cs="方正仿宋_GBK"/>
          <w:sz w:val="32"/>
          <w:szCs w:val="32"/>
          <w:shd w:val="clear" w:color="auto" w:fill="FFFFFF"/>
        </w:rPr>
        <w:t>%。主要原因是教师人数减少1人所致。较年初预算数增加184.86万元，增长21.8</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%。主要原因是超额绩效纳入养老保险和职业年金基数增加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万元，与2023年度相比，无增减，主要原因是2023年和2024年均无一般公共预算财政拨款结转和结余。</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803.71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77.93</w:t>
      </w:r>
      <w:r>
        <w:rPr>
          <w:rFonts w:ascii="方正仿宋_GBK" w:hAnsi="方正仿宋_GBK" w:eastAsia="方正仿宋_GBK" w:cs="方正仿宋_GBK"/>
          <w:sz w:val="32"/>
          <w:szCs w:val="32"/>
          <w:shd w:val="clear" w:color="auto" w:fill="FFFFFF"/>
        </w:rPr>
        <w:t>%，较年初预算数增加145.57万元，增长22.1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%，主要原因是本年预算执行中新增幼儿园维修改造工程致项目支出增加。</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172.46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16.72</w:t>
      </w:r>
      <w:r>
        <w:rPr>
          <w:rFonts w:ascii="方正仿宋_GBK" w:hAnsi="方正仿宋_GBK" w:eastAsia="方正仿宋_GBK" w:cs="方正仿宋_GBK"/>
          <w:sz w:val="32"/>
          <w:szCs w:val="32"/>
          <w:shd w:val="clear" w:color="auto" w:fill="FFFFFF"/>
        </w:rPr>
        <w:t>%，较年初预算数增加41.34万元，增长31.53%，主要原因是本年预算执行中超额绩效纳入养老保险和职业年金基数增加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25.28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2.45</w:t>
      </w:r>
      <w:r>
        <w:rPr>
          <w:rFonts w:ascii="方正仿宋_GBK" w:hAnsi="方正仿宋_GBK" w:eastAsia="方正仿宋_GBK" w:cs="方正仿宋_GBK"/>
          <w:sz w:val="32"/>
          <w:szCs w:val="32"/>
          <w:shd w:val="clear" w:color="auto" w:fill="FFFFFF"/>
        </w:rPr>
        <w:t>%，较年初预算数减少0.75万元，下降2.</w:t>
      </w:r>
      <w:r>
        <w:rPr>
          <w:rFonts w:hint="eastAsia" w:ascii="方正仿宋_GBK" w:hAnsi="方正仿宋_GBK" w:eastAsia="方正仿宋_GBK" w:cs="方正仿宋_GBK"/>
          <w:sz w:val="32"/>
          <w:szCs w:val="32"/>
          <w:shd w:val="clear" w:color="auto" w:fill="FFFFFF"/>
          <w:lang w:val="en-US" w:eastAsia="zh-CN"/>
        </w:rPr>
        <w:t>90</w:t>
      </w:r>
      <w:r>
        <w:rPr>
          <w:rFonts w:ascii="方正仿宋_GBK" w:hAnsi="方正仿宋_GBK" w:eastAsia="方正仿宋_GBK" w:cs="方正仿宋_GBK"/>
          <w:sz w:val="32"/>
          <w:szCs w:val="32"/>
          <w:shd w:val="clear" w:color="auto" w:fill="FFFFFF"/>
        </w:rPr>
        <w:t>%，主要原因是本年预算执行中因教职工退休后减少了缴费基数。</w:t>
      </w:r>
    </w:p>
    <w:p>
      <w:pPr>
        <w:spacing w:line="600" w:lineRule="atLeas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住房保障支出29.95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2.90</w:t>
      </w:r>
      <w:r>
        <w:rPr>
          <w:rFonts w:ascii="方正仿宋_GBK" w:hAnsi="方正仿宋_GBK" w:eastAsia="方正仿宋_GBK" w:cs="方正仿宋_GBK"/>
          <w:sz w:val="32"/>
          <w:szCs w:val="32"/>
          <w:shd w:val="clear" w:color="auto" w:fill="FFFFFF"/>
        </w:rPr>
        <w:t>%，较年初预算数减少1.29万元，下降4.1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%，主要原因是本年预算执行中因教职工退休后减少了缴费基数。</w:t>
      </w:r>
    </w:p>
    <w:p>
      <w:pPr>
        <w:pStyle w:val="11"/>
        <w:autoSpaceDE w:val="0"/>
        <w:spacing w:line="600" w:lineRule="atLeas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698.24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686.72</w:t>
      </w:r>
      <w:r>
        <w:rPr>
          <w:rFonts w:ascii="方正仿宋_GBK" w:hAnsi="方正仿宋_GBK" w:eastAsia="方正仿宋_GBK" w:cs="方正仿宋_GBK"/>
          <w:sz w:val="32"/>
          <w:szCs w:val="32"/>
          <w:shd w:val="clear" w:color="auto" w:fill="FFFFFF"/>
        </w:rPr>
        <w:t>万元，与2023年度相比，减少39.15万元，下降5.</w:t>
      </w:r>
      <w:r>
        <w:rPr>
          <w:rFonts w:hint="eastAsia" w:ascii="方正仿宋_GBK" w:hAnsi="方正仿宋_GBK" w:eastAsia="方正仿宋_GBK" w:cs="方正仿宋_GBK"/>
          <w:sz w:val="32"/>
          <w:szCs w:val="32"/>
          <w:shd w:val="clear" w:color="auto" w:fill="FFFFFF"/>
          <w:lang w:val="en-US" w:eastAsia="zh-CN"/>
        </w:rPr>
        <w:t>40</w:t>
      </w:r>
      <w:r>
        <w:rPr>
          <w:rFonts w:ascii="方正仿宋_GBK" w:hAnsi="方正仿宋_GBK" w:eastAsia="方正仿宋_GBK" w:cs="方正仿宋_GBK"/>
          <w:sz w:val="32"/>
          <w:szCs w:val="32"/>
          <w:shd w:val="clear" w:color="auto" w:fill="FFFFFF"/>
        </w:rPr>
        <w:t>%，主要原因是2023年清算补发以前年度超额绩效和健康休养费。人员经费用途主要包括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11.52</w:t>
      </w:r>
      <w:r>
        <w:rPr>
          <w:rFonts w:ascii="方正仿宋_GBK" w:hAnsi="方正仿宋_GBK" w:eastAsia="方正仿宋_GBK" w:cs="方正仿宋_GBK"/>
          <w:sz w:val="32"/>
          <w:szCs w:val="32"/>
          <w:shd w:val="clear" w:color="auto" w:fill="FFFFFF"/>
        </w:rPr>
        <w:t>万元，与2023年度相比，减少0.25万元，下降2.1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atLeas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6"/>
        <w:snapToGrid w:val="0"/>
        <w:spacing w:before="0" w:beforeAutospacing="0" w:after="0" w:afterAutospacing="0" w:line="600" w:lineRule="atLeas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atLeas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三、财政拨款“三公”经费情况说明</w:t>
      </w:r>
    </w:p>
    <w:p>
      <w:pPr>
        <w:pStyle w:val="11"/>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atLeas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atLeas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atLeas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atLeas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四、其他需要说明的事项</w:t>
      </w:r>
    </w:p>
    <w:p>
      <w:pPr>
        <w:pStyle w:val="11"/>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atLeas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6.70</w:t>
      </w:r>
      <w:r>
        <w:rPr>
          <w:rFonts w:ascii="方正仿宋_GBK" w:hAnsi="方正仿宋_GBK" w:eastAsia="方正仿宋_GBK" w:cs="方正仿宋_GBK"/>
          <w:sz w:val="32"/>
          <w:szCs w:val="32"/>
          <w:shd w:val="clear" w:color="auto" w:fill="FFFFFF"/>
        </w:rPr>
        <w:t>万元，与2023年度相比，增加3.70万元，增长123.3</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学校</w:t>
      </w:r>
      <w:r>
        <w:rPr>
          <w:rFonts w:ascii="方正仿宋_GBK" w:hAnsi="方正仿宋_GBK" w:eastAsia="方正仿宋_GBK" w:cs="方正仿宋_GBK"/>
          <w:sz w:val="32"/>
          <w:szCs w:val="32"/>
          <w:shd w:val="clear" w:color="auto" w:fill="FFFFFF"/>
        </w:rPr>
        <w:t>加大了师资队伍的建设和培训</w:t>
      </w:r>
      <w:r>
        <w:rPr>
          <w:rFonts w:ascii="方正仿宋_GBK" w:hAnsi="方正仿宋_GBK" w:eastAsia="方正仿宋_GBK" w:cs="方正仿宋_GBK"/>
          <w:sz w:val="32"/>
          <w:szCs w:val="32"/>
        </w:rPr>
        <w:t>。</w:t>
      </w:r>
    </w:p>
    <w:p>
      <w:pPr>
        <w:pStyle w:val="11"/>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atLeas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r>
        <w:rPr>
          <w:rFonts w:ascii="方正仿宋_GBK" w:hAnsi="方正仿宋_GBK" w:eastAsia="方正仿宋_GBK" w:cs="方正仿宋_GBK"/>
          <w:sz w:val="32"/>
          <w:szCs w:val="32"/>
        </w:rPr>
        <w:t>。</w:t>
      </w:r>
    </w:p>
    <w:p>
      <w:pPr>
        <w:pStyle w:val="11"/>
        <w:autoSpaceDE w:val="0"/>
        <w:spacing w:line="600" w:lineRule="atLeas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atLeas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度我单位未发生政府采购事项，无相关经费支出。</w:t>
      </w:r>
    </w:p>
    <w:p>
      <w:pPr>
        <w:spacing w:line="600" w:lineRule="atLeas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五、2024年度预算绩效管理情况说明</w:t>
      </w:r>
    </w:p>
    <w:p>
      <w:pPr>
        <w:pStyle w:val="11"/>
        <w:autoSpaceDE w:val="0"/>
        <w:spacing w:line="600" w:lineRule="atLeas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atLeas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rPr>
        <w:t>个二级项目开展了绩效自评，涉及财政拨款项目支出资金333.15万元。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511165" cy="4938395"/>
            <wp:effectExtent l="0" t="0" r="381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511165" cy="4938395"/>
                    </a:xfrm>
                    <a:prstGeom prst="rect">
                      <a:avLst/>
                    </a:prstGeom>
                    <a:noFill/>
                    <a:ln>
                      <a:noFill/>
                    </a:ln>
                  </pic:spPr>
                </pic:pic>
              </a:graphicData>
            </a:graphic>
          </wp:inline>
        </w:drawing>
      </w:r>
      <w:r>
        <w:drawing>
          <wp:inline distT="0" distB="0" distL="114300" distR="114300">
            <wp:extent cx="5798185" cy="5480685"/>
            <wp:effectExtent l="0" t="0" r="2540"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798185" cy="5480685"/>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atLeas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atLeas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六、专业名词解释</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bookmarkStart w:id="0" w:name="_GoBack"/>
      <w:bookmarkEnd w:id="0"/>
      <w:r>
        <w:rPr>
          <w:rFonts w:ascii="方正仿宋_GBK" w:hAnsi="方正仿宋_GBK" w:eastAsia="方正仿宋_GBK" w:cs="方正仿宋_GBK"/>
          <w:sz w:val="32"/>
          <w:szCs w:val="32"/>
          <w:shd w:val="clear" w:color="auto" w:fill="FFFFFF"/>
        </w:rPr>
        <w:t>“事业收入”“经营收入”“其他收入”等不足以安排当年支出的情况下，使用以前年度积累的非财政拨款结余弥补本年度收支缺口的资金。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atLeast"/>
        <w:ind w:firstLine="643" w:firstLineChars="200"/>
        <w:jc w:val="both"/>
        <w:rPr>
          <w:rFonts w:hint="default"/>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atLeas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七、决算公开联系方式及信息反馈渠道</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atLeas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rPr>
        <w:t>王老师   023-74695070</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垫江县教委示范幼儿园</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1,031.39</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299.74</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1,193.20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83.95</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172.46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25.28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29.95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1,415.09</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1,420.87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29.17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34.96</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1,450.05</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1,450.05</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12" w:type="dxa"/>
        <w:tblInd w:w="0" w:type="dxa"/>
        <w:tblLayout w:type="fixed"/>
        <w:tblCellMar>
          <w:top w:w="0" w:type="dxa"/>
          <w:left w:w="0" w:type="dxa"/>
          <w:bottom w:w="0" w:type="dxa"/>
          <w:right w:w="0" w:type="dxa"/>
        </w:tblCellMar>
      </w:tblPr>
      <w:tblGrid>
        <w:gridCol w:w="1436"/>
        <w:gridCol w:w="3331"/>
        <w:gridCol w:w="1134"/>
        <w:gridCol w:w="1408"/>
        <w:gridCol w:w="1228"/>
        <w:gridCol w:w="1228"/>
        <w:gridCol w:w="1361"/>
        <w:gridCol w:w="1299"/>
        <w:gridCol w:w="1432"/>
        <w:gridCol w:w="1455"/>
      </w:tblGrid>
      <w:tr>
        <w:tblPrEx>
          <w:tblLayout w:type="fixed"/>
          <w:tblCellMar>
            <w:top w:w="0" w:type="dxa"/>
            <w:left w:w="0" w:type="dxa"/>
            <w:bottom w:w="0" w:type="dxa"/>
            <w:right w:w="0" w:type="dxa"/>
          </w:tblCellMar>
        </w:tblPrEx>
        <w:trPr>
          <w:trHeight w:val="641" w:hRule="atLeast"/>
        </w:trPr>
        <w:tc>
          <w:tcPr>
            <w:tcW w:w="15312"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垫江县教委示范幼儿园</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5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5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31" w:hRule="atLeast"/>
        </w:trPr>
        <w:tc>
          <w:tcPr>
            <w:tcW w:w="47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331"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331"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331"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331"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4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1,415.09</w:t>
            </w:r>
            <w:r>
              <w:rPr>
                <w:rFonts w:ascii="Times New Roman" w:hAnsi="Times New Roman"/>
                <w:b/>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1,031.39</w:t>
            </w:r>
            <w:r>
              <w:rPr>
                <w:rFonts w:ascii="Times New Roman" w:hAnsi="Times New Roman"/>
                <w:b/>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299.74</w:t>
            </w:r>
            <w:r>
              <w:rPr>
                <w:rFonts w:ascii="Times New Roman" w:hAnsi="Times New Roman"/>
                <w:b/>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299.74</w:t>
            </w:r>
            <w:r>
              <w:rPr>
                <w:rFonts w:ascii="Times New Roman" w:hAnsi="Times New Roman"/>
                <w:b/>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83.95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1,187.41</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803.71</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299.74</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299.74</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83.95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1,186.19</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802.50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299.74</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299.74</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83.95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1,186.19</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802.50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299.74</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299.74</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83.95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1.21</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1.21</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1.21</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1.21</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172.46</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172.46</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172.46</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172.46</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62.68</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62.68</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31.36</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31.36</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78.41</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78.41</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25.28</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25.28</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25.28</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25.28</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25.28</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25.28</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29.95</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29.95</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29.95</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29.95</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29.95</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29.95</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垫江县教委示范幼儿园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69"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69" w:hRule="exac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69"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69"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69"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69"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1,420.87</w:t>
            </w:r>
            <w:r>
              <w:rPr>
                <w:rFonts w:ascii="Times New Roman" w:hAnsi="Times New Roman"/>
                <w:b/>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1,050.23</w:t>
            </w:r>
            <w:r>
              <w:rPr>
                <w:rFonts w:ascii="Times New Roman" w:hAnsi="Times New Roman"/>
                <w:b/>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370.64</w:t>
            </w:r>
            <w:r>
              <w:rPr>
                <w:rFonts w:ascii="Times New Roman" w:hAnsi="Times New Roman"/>
                <w:b/>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1,193.20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822.80</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370.39</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1,191.98</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821.59</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370.39</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1,191.98</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821.59</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370.39</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1.21</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1.21</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1.21</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1.21</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172.46</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172.21</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0.25</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172.46</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172.21</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0.25</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62.68</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62.68</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31.36</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31.36</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78.41</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78.16</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0.25</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25.28</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25.28</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25.28</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25.28</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25.28</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25.28</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29.95</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29.95</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29.95</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29.95</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6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29.95</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29.95</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垫江县教委示范幼儿园</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1,031.39</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803.71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803.71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172.46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172.46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25.28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25.28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29.95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29.95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1,031.39</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1,031.39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1,031.39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1,031.39</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1,031.39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1,031.39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垫江县教委示范幼儿园</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1,031.39</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698.24</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333.15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803.71</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470.81</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332.90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802.50</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469.60</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332.90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802.50</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469.60</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332.90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1.21</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1.21</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1.21</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1.21</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172.46</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172.21</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0.25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172.46</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172.21</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0.25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62.68</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62.68</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31.36</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31.36</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78.41</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78.16</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0.25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25.28</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25.28</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25.28</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25.28</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25.28</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25.28</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29.95</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29.95</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29.95</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29.95</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29.95</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29.95</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垫江县教委示范幼儿园</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608.56</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11.52</w:t>
            </w: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140.82</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5.42</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306.83</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62.68</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31.36</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25.28</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0.78</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29.95</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5.44</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78.16</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1.21</w:t>
            </w: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73.36</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4.80</w:t>
            </w: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4.39</w:t>
            </w: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5.91</w:t>
            </w: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686.72</w:t>
            </w:r>
            <w:r>
              <w:rPr>
                <w:rFonts w:ascii="Times New Roman" w:hAnsi="Times New Roman"/>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11.52</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垫江县教委示范幼儿园</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垫江县教委示范幼儿园</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垫江县教委示范幼儿园</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6.70</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6.00</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31D97"/>
    <w:rsid w:val="000C01CC"/>
    <w:rsid w:val="000D7702"/>
    <w:rsid w:val="001461F5"/>
    <w:rsid w:val="00261065"/>
    <w:rsid w:val="002D0E5A"/>
    <w:rsid w:val="002E5443"/>
    <w:rsid w:val="0032196C"/>
    <w:rsid w:val="00460675"/>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D0253"/>
    <w:rsid w:val="00BF5A85"/>
    <w:rsid w:val="00C307F6"/>
    <w:rsid w:val="00C96B11"/>
    <w:rsid w:val="00CC6B99"/>
    <w:rsid w:val="00DF7706"/>
    <w:rsid w:val="00E05175"/>
    <w:rsid w:val="00E654E2"/>
    <w:rsid w:val="00E76362"/>
    <w:rsid w:val="00EB10E0"/>
    <w:rsid w:val="00F137D3"/>
    <w:rsid w:val="00F13C36"/>
    <w:rsid w:val="00F23C68"/>
    <w:rsid w:val="00F32C53"/>
    <w:rsid w:val="00F73F90"/>
    <w:rsid w:val="00F7623D"/>
    <w:rsid w:val="00F8598B"/>
    <w:rsid w:val="00FA0819"/>
    <w:rsid w:val="00FD32A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0653E0"/>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8C06BCA"/>
    <w:rsid w:val="3939115E"/>
    <w:rsid w:val="3947424B"/>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A30031"/>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5E95E7D"/>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385B31"/>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8199</Words>
  <Characters>10637</Characters>
  <Lines>95</Lines>
  <Paragraphs>26</Paragraphs>
  <TotalTime>1</TotalTime>
  <ScaleCrop>false</ScaleCrop>
  <LinksUpToDate>false</LinksUpToDate>
  <CharactersWithSpaces>11660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2025-09-22T07:58:58Z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0F1E8B437A2449F4B572C1B3BBDE77A4_13</vt:lpwstr>
  </property>
  <property fmtid="{D5CDD505-2E9C-101B-9397-08002B2CF9AE}" pid="4" name="KSOTemplateDocerSaveRecord">
    <vt:lpwstr>eyJoZGlkIjoiNjM0Zjk5YTc4NjQ1NmYyOGViZjRkNWIzZWJhYTE3YWEiLCJ1c2VySWQiOiIzODk0NTM2OTAifQ==</vt:lpwstr>
  </property>
</Properties>
</file>