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垫江县龙桥学校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2024年</w:t>
      </w:r>
      <w:r>
        <w:rPr>
          <w:rFonts w:ascii="方正小标宋_GBK" w:hAnsi="方正小标宋_GBK" w:eastAsia="方正小标宋_GBK" w:cs="方正小标宋_GBK"/>
          <w:sz w:val="44"/>
          <w:szCs w:val="44"/>
        </w:rPr>
        <w:t>度决算公开说明</w:t>
      </w:r>
    </w:p>
    <w:p>
      <w:pPr>
        <w:pStyle w:val="5"/>
        <w:shd w:val="clear" w:color="auto" w:fill="FFFFFF"/>
        <w:textAlignment w:val="top"/>
        <w:rPr>
          <w:rFonts w:hint="default"/>
          <w:color w:val="000000" w:themeColor="text1"/>
          <w:sz w:val="27"/>
          <w:szCs w:val="27"/>
          <w:shd w:val="clear" w:color="auto" w:fill="FFFF00"/>
          <w14:textFill>
            <w14:solidFill>
              <w14:schemeClr w14:val="tx1"/>
            </w14:solidFill>
          </w14:textFill>
        </w:rPr>
      </w:pPr>
    </w:p>
    <w:p>
      <w:pPr>
        <w:ind w:firstLine="640" w:firstLineChars="200"/>
        <w:rPr>
          <w:rStyle w:val="10"/>
          <w:rFonts w:hint="default" w:ascii="方正黑体_GBK" w:eastAsia="方正黑体_GBK"/>
          <w:b w:val="0"/>
          <w:color w:val="000000" w:themeColor="text1"/>
          <w:sz w:val="32"/>
          <w:szCs w:val="32"/>
          <w14:textFill>
            <w14:solidFill>
              <w14:schemeClr w14:val="tx1"/>
            </w14:solidFill>
          </w14:textFill>
        </w:rPr>
      </w:pPr>
      <w:r>
        <w:rPr>
          <w:rStyle w:val="10"/>
          <w:rFonts w:ascii="方正黑体_GBK" w:eastAsia="方正黑体_GBK"/>
          <w:b w:val="0"/>
          <w:color w:val="000000" w:themeColor="text1"/>
          <w:sz w:val="32"/>
          <w:szCs w:val="32"/>
          <w14:textFill>
            <w14:solidFill>
              <w14:schemeClr w14:val="tx1"/>
            </w14:solidFill>
          </w14:textFill>
        </w:rPr>
        <w:t>一、单位基本情况</w:t>
      </w:r>
    </w:p>
    <w:p>
      <w:pPr>
        <w:ind w:firstLine="643" w:firstLineChars="200"/>
        <w:rPr>
          <w:rFonts w:hint="default" w:hAnsi="方正仿宋_GBK" w:cs="方正仿宋_GBK"/>
          <w:color w:val="000000" w:themeColor="text1"/>
          <w14:textFill>
            <w14:solidFill>
              <w14:schemeClr w14:val="tx1"/>
            </w14:solidFill>
          </w14:textFill>
        </w:rPr>
      </w:pPr>
      <w:r>
        <w:rPr>
          <w:rStyle w:val="10"/>
          <w:rFonts w:ascii="方正楷体_GBK" w:hAnsi="楷体" w:eastAsia="方正楷体_GBK" w:cs="楷体"/>
          <w:color w:val="000000" w:themeColor="text1"/>
          <w:sz w:val="32"/>
          <w:szCs w:val="32"/>
          <w:shd w:val="clear" w:color="auto" w:fill="FFFFFF"/>
          <w14:textFill>
            <w14:solidFill>
              <w14:schemeClr w14:val="tx1"/>
            </w14:solidFill>
          </w14:textFill>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eastAsia="方正仿宋_GBK"/>
          <w:color w:val="000000" w:themeColor="text1"/>
          <w:sz w:val="32"/>
          <w14:textFill>
            <w14:solidFill>
              <w14:schemeClr w14:val="tx1"/>
            </w14:solidFill>
          </w14:textFill>
        </w:rPr>
        <w:t>实施小学义务教育。适龄儿童义务教育；全面推进素质教育；学校卫生、安全、稳定；学校经费与校产管理；师资队伍建设；学前儿童教育与保育，制定本区域教育发展规划。</w:t>
      </w:r>
    </w:p>
    <w:p>
      <w:pPr>
        <w:spacing w:line="600" w:lineRule="exact"/>
        <w:ind w:firstLine="643" w:firstLineChars="200"/>
        <w:rPr>
          <w:rFonts w:eastAsia="方正楷体_GBK"/>
          <w:b/>
          <w:sz w:val="32"/>
        </w:rPr>
      </w:pPr>
      <w:r>
        <w:rPr>
          <w:rFonts w:hAnsi="方正楷体_GBK" w:eastAsia="方正楷体_GBK"/>
          <w:b/>
          <w:sz w:val="32"/>
        </w:rPr>
        <w:t>（二）</w:t>
      </w:r>
      <w:r>
        <w:rPr>
          <w:rFonts w:hint="eastAsia" w:hAnsi="方正楷体_GBK" w:eastAsia="方正楷体_GBK"/>
          <w:b/>
          <w:sz w:val="32"/>
        </w:rPr>
        <w:t>机构设置</w:t>
      </w:r>
    </w:p>
    <w:p>
      <w:pPr>
        <w:spacing w:line="600" w:lineRule="exact"/>
        <w:ind w:firstLine="640" w:firstLineChars="200"/>
        <w:rPr>
          <w:rFonts w:eastAsia="方正仿宋_GBK"/>
          <w:sz w:val="32"/>
        </w:rPr>
      </w:pPr>
      <w:r>
        <w:rPr>
          <w:rFonts w:eastAsia="方正仿宋_GBK"/>
          <w:sz w:val="32"/>
        </w:rPr>
        <w:t>学校单位领导职数3名(校长1名、副校长2名)，内设机构领导职数4名，内设机构有德育处、教务处、教科处、后勤处。</w:t>
      </w:r>
    </w:p>
    <w:p>
      <w:pPr>
        <w:ind w:firstLine="640" w:firstLineChars="200"/>
        <w:rPr>
          <w:rStyle w:val="10"/>
          <w:rFonts w:hint="default" w:ascii="方正黑体_GBK" w:hAnsi="Times New Roman" w:eastAsia="方正黑体_GBK"/>
          <w:b w:val="0"/>
          <w:color w:val="000000" w:themeColor="text1"/>
          <w:sz w:val="32"/>
          <w:szCs w:val="32"/>
          <w14:textFill>
            <w14:solidFill>
              <w14:schemeClr w14:val="tx1"/>
            </w14:solidFill>
          </w14:textFill>
        </w:rPr>
      </w:pPr>
      <w:r>
        <w:rPr>
          <w:rStyle w:val="10"/>
          <w:rFonts w:ascii="方正黑体_GBK" w:hAnsi="Times New Roman" w:eastAsia="方正黑体_GBK"/>
          <w:b w:val="0"/>
          <w:color w:val="000000" w:themeColor="text1"/>
          <w:sz w:val="32"/>
          <w:szCs w:val="32"/>
          <w14:textFill>
            <w14:solidFill>
              <w14:schemeClr w14:val="tx1"/>
            </w14:solidFill>
          </w14:textFill>
        </w:rPr>
        <w:t>二、单位决算</w:t>
      </w:r>
      <w:r>
        <w:rPr>
          <w:rStyle w:val="10"/>
          <w:rFonts w:hint="eastAsia" w:ascii="方正黑体_GBK" w:hAnsi="Times New Roman" w:eastAsia="方正黑体_GBK"/>
          <w:b w:val="0"/>
          <w:color w:val="000000" w:themeColor="text1"/>
          <w:sz w:val="32"/>
          <w:szCs w:val="32"/>
          <w:lang w:eastAsia="zh-CN"/>
          <w14:textFill>
            <w14:solidFill>
              <w14:schemeClr w14:val="tx1"/>
            </w14:solidFill>
          </w14:textFill>
        </w:rPr>
        <w:t>收支</w:t>
      </w:r>
      <w:r>
        <w:rPr>
          <w:rStyle w:val="10"/>
          <w:rFonts w:ascii="方正黑体_GBK" w:hAnsi="Times New Roman" w:eastAsia="方正黑体_GBK"/>
          <w:b w:val="0"/>
          <w:color w:val="000000" w:themeColor="text1"/>
          <w:sz w:val="32"/>
          <w:szCs w:val="32"/>
          <w14:textFill>
            <w14:solidFill>
              <w14:schemeClr w14:val="tx1"/>
            </w14:solidFill>
          </w14:textFill>
        </w:rPr>
        <w:t>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Style w:val="10"/>
          <w:rFonts w:ascii="方正楷体_GBK" w:hAnsi="楷体" w:eastAsia="方正楷体_GBK" w:cs="楷体"/>
          <w:color w:val="000000" w:themeColor="text1"/>
          <w:sz w:val="32"/>
          <w:szCs w:val="32"/>
          <w:shd w:val="clear" w:color="auto" w:fill="FFFFFF"/>
          <w14:textFill>
            <w14:solidFill>
              <w14:schemeClr w14:val="tx1"/>
            </w14:solidFill>
          </w14:textFill>
        </w:rPr>
      </w:pPr>
      <w:r>
        <w:rPr>
          <w:rStyle w:val="10"/>
          <w:rFonts w:hint="eastAsia" w:ascii="方正楷体_GBK" w:hAnsi="楷体" w:eastAsia="方正楷体_GBK" w:cs="楷体"/>
          <w:color w:val="000000" w:themeColor="text1"/>
          <w:sz w:val="32"/>
          <w:szCs w:val="32"/>
          <w:shd w:val="clear" w:color="auto" w:fill="FFFFFF"/>
          <w14:textFill>
            <w14:solidFill>
              <w14:schemeClr w14:val="tx1"/>
            </w14:solidFill>
          </w14:textFill>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度收入总计1215.39万元，支出总计</w:t>
      </w:r>
      <w:r>
        <w:rPr>
          <w:rFonts w:ascii="方正仿宋_GBK" w:hAnsi="方正仿宋_GBK" w:eastAsia="方正仿宋_GBK" w:cs="方正仿宋_GBK"/>
          <w:sz w:val="32"/>
          <w:szCs w:val="32"/>
        </w:rPr>
        <w:t>1215.39</w:t>
      </w:r>
      <w:r>
        <w:rPr>
          <w:rFonts w:ascii="方正仿宋_GBK" w:hAnsi="方正仿宋_GBK" w:eastAsia="方正仿宋_GBK" w:cs="方正仿宋_GBK"/>
          <w:sz w:val="32"/>
          <w:szCs w:val="32"/>
          <w:shd w:val="clear" w:color="auto" w:fill="FFFFFF"/>
        </w:rPr>
        <w:t>万元。收、支与2023年度相比，减少317.90万元，下降20.73%，主要原因是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2023年清算补发以前年度超额绩效和健康休养费且本年因教师人数减少致人员经费减少，学生人数减少致公用经费及课后延时服务费减少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度收入合计1215.39万元，与2023年度相比，减少297.88万元，下降19.68%，主要原因是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2023年清算补发以前年度超额绩效和健康休养费且本年因教师人数减少致人员经费减少，学生人数减少致公用经费及课后延时服务费减少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1180.37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97.12</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12.59</w:t>
      </w:r>
      <w:r>
        <w:rPr>
          <w:rFonts w:ascii="方正仿宋_GBK" w:hAnsi="方正仿宋_GBK" w:eastAsia="方正仿宋_GBK" w:cs="方正仿宋_GBK"/>
          <w:sz w:val="32"/>
          <w:szCs w:val="32"/>
          <w:shd w:val="clear" w:color="auto" w:fill="FFFFFF"/>
        </w:rPr>
        <w:t>万元，占1.04%；经营收入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22.43</w:t>
      </w:r>
      <w:r>
        <w:rPr>
          <w:rFonts w:ascii="方正仿宋_GBK" w:hAnsi="方正仿宋_GBK" w:eastAsia="方正仿宋_GBK" w:cs="方正仿宋_GBK"/>
          <w:sz w:val="32"/>
          <w:szCs w:val="32"/>
          <w:shd w:val="clear" w:color="auto" w:fill="FFFFFF"/>
        </w:rPr>
        <w:t>万元，占1.85%。此外，使用非财政拨款结余和专用结余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1208.49</w:t>
      </w:r>
      <w:r>
        <w:rPr>
          <w:rFonts w:ascii="方正仿宋_GBK" w:hAnsi="方正仿宋_GBK" w:eastAsia="方正仿宋_GBK" w:cs="方正仿宋_GBK"/>
          <w:sz w:val="32"/>
          <w:szCs w:val="32"/>
          <w:shd w:val="clear" w:color="auto" w:fill="FFFFFF"/>
        </w:rPr>
        <w:t>万元，与2023年度相比，减少305.55万元，下降20.18%，主要原因是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2023年清算补发以前年度超额绩效和健康休养费且本年因教师人数减少致人员经费减少，学生人数减少致公用经费及课后延时服务费减少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1128.75</w:t>
      </w:r>
      <w:r>
        <w:rPr>
          <w:rFonts w:ascii="方正仿宋_GBK" w:hAnsi="方正仿宋_GBK" w:eastAsia="方正仿宋_GBK" w:cs="方正仿宋_GBK"/>
          <w:sz w:val="32"/>
          <w:szCs w:val="32"/>
          <w:shd w:val="clear" w:color="auto" w:fill="FFFFFF"/>
        </w:rPr>
        <w:t>万元，占93.40%；项目支出</w:t>
      </w:r>
      <w:r>
        <w:rPr>
          <w:rFonts w:ascii="方正仿宋_GBK" w:hAnsi="方正仿宋_GBK" w:eastAsia="方正仿宋_GBK" w:cs="方正仿宋_GBK"/>
          <w:sz w:val="32"/>
          <w:szCs w:val="32"/>
        </w:rPr>
        <w:t>79.75</w:t>
      </w:r>
      <w:r>
        <w:rPr>
          <w:rFonts w:ascii="方正仿宋_GBK" w:hAnsi="方正仿宋_GBK" w:eastAsia="方正仿宋_GBK" w:cs="方正仿宋_GBK"/>
          <w:sz w:val="32"/>
          <w:szCs w:val="32"/>
          <w:shd w:val="clear" w:color="auto" w:fill="FFFFFF"/>
        </w:rPr>
        <w:t>万元，占6.60%；经营支出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6.90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2023年和2024年均无年末结转和结余。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度财政拨款收、支总计1180.37万元。与202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年相比，财政拨款收、支总计各减少303.84万元，下降20.47%。主要原因是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2023年清算补发以前年度超额绩效和健康休养费且本年因教师人数减少致人员经费减少，学生人数减少致公用经费及课后延时服务费减少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1176.37</w:t>
      </w:r>
      <w:r>
        <w:rPr>
          <w:rFonts w:ascii="方正仿宋_GBK" w:hAnsi="方正仿宋_GBK" w:eastAsia="方正仿宋_GBK" w:cs="方正仿宋_GBK"/>
          <w:sz w:val="32"/>
          <w:szCs w:val="32"/>
          <w:shd w:val="clear" w:color="auto" w:fill="FFFFFF"/>
        </w:rPr>
        <w:t>万元，与2023年度相比，减少304.08万元，下降20.54%。主要原因是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2023年清算补发以前年度超额绩效和健康休养费且本年因教师人数减少致人员经费减少，学生人数减少致公用经费及课后延时服务费减少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较年初预算数增加98.61万元，增长9.15%。主要原因是本年预算执行中教职工正常晋升、晋岗晋级及</w:t>
      </w:r>
      <w:r>
        <w:rPr>
          <w:rFonts w:ascii="方正仿宋_GBK" w:eastAsia="方正仿宋_GBK"/>
          <w:sz w:val="32"/>
          <w:szCs w:val="32"/>
          <w:shd w:val="clear" w:color="auto" w:fill="FFFFFF"/>
        </w:rPr>
        <w:t>将超额绩效纳入养老保险和职业年金基数</w:t>
      </w:r>
      <w:r>
        <w:rPr>
          <w:rFonts w:ascii="方正仿宋_GBK" w:hAnsi="方正仿宋_GBK" w:eastAsia="方正仿宋_GBK" w:cs="方正仿宋_GBK"/>
          <w:sz w:val="32"/>
          <w:szCs w:val="32"/>
          <w:shd w:val="clear" w:color="auto" w:fill="FFFFFF"/>
        </w:rPr>
        <w:t>等人员经费类基本支出增加。此外，年初财政拨款结转和结余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1176.37</w:t>
      </w:r>
      <w:r>
        <w:rPr>
          <w:rFonts w:ascii="方正仿宋_GBK" w:hAnsi="方正仿宋_GBK" w:eastAsia="方正仿宋_GBK" w:cs="方正仿宋_GBK"/>
          <w:sz w:val="32"/>
          <w:szCs w:val="32"/>
          <w:shd w:val="clear" w:color="auto" w:fill="FFFFFF"/>
        </w:rPr>
        <w:t>万元，与2023年度相比，减少304.27万元，下降20.55%。</w:t>
      </w:r>
      <w:r>
        <w:rPr>
          <w:rFonts w:ascii="方正仿宋_GBK" w:eastAsia="方正仿宋_GBK"/>
          <w:sz w:val="32"/>
          <w:szCs w:val="32"/>
          <w:shd w:val="clear" w:color="auto" w:fill="FFFFFF"/>
        </w:rPr>
        <w:t>主要原因是2023年清算补发以前年度超额绩效和健康休养费且本年</w:t>
      </w:r>
      <w:bookmarkStart w:id="0" w:name="_GoBack"/>
      <w:bookmarkEnd w:id="0"/>
      <w:r>
        <w:rPr>
          <w:rFonts w:ascii="方正仿宋_GBK" w:eastAsia="方正仿宋_GBK"/>
          <w:sz w:val="32"/>
          <w:szCs w:val="32"/>
          <w:shd w:val="clear" w:color="auto" w:fill="FFFFFF"/>
        </w:rPr>
        <w:t>教师人数减少致人员经费减少，学生人数减少致公用经费减少。</w:t>
      </w:r>
      <w:r>
        <w:rPr>
          <w:rFonts w:ascii="方正仿宋_GBK" w:hAnsi="方正仿宋_GBK" w:eastAsia="方正仿宋_GBK" w:cs="方正仿宋_GBK"/>
          <w:sz w:val="32"/>
          <w:szCs w:val="32"/>
          <w:shd w:val="clear" w:color="auto" w:fill="FFFFFF"/>
        </w:rPr>
        <w:t>较年初预算数增加98.61万元，增长9.15%。</w:t>
      </w:r>
      <w:r>
        <w:rPr>
          <w:rFonts w:ascii="方正仿宋_GBK" w:eastAsia="方正仿宋_GBK"/>
          <w:sz w:val="32"/>
          <w:szCs w:val="32"/>
          <w:shd w:val="clear" w:color="auto" w:fill="FFFFFF"/>
        </w:rPr>
        <w:t>主要原因是本年预算执行中教职工正常晋升、晋岗晋级及将超额绩效纳入养老保险和职业年金基数等人员经费类基本支出增加。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813.06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69.12</w:t>
      </w:r>
      <w:r>
        <w:rPr>
          <w:rFonts w:ascii="方正仿宋_GBK" w:hAnsi="方正仿宋_GBK" w:eastAsia="方正仿宋_GBK" w:cs="方正仿宋_GBK"/>
          <w:sz w:val="32"/>
          <w:szCs w:val="32"/>
          <w:shd w:val="clear" w:color="auto" w:fill="FFFFFF"/>
        </w:rPr>
        <w:t>%，较年初预算数增加43.19万元，增长5.61%，主要原因是教职工正常晋升、晋岗晋级等人员经费类基本支出增加</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272.74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23.19</w:t>
      </w:r>
      <w:r>
        <w:rPr>
          <w:rFonts w:ascii="方正仿宋_GBK" w:hAnsi="方正仿宋_GBK" w:eastAsia="方正仿宋_GBK" w:cs="方正仿宋_GBK"/>
          <w:sz w:val="32"/>
          <w:szCs w:val="32"/>
          <w:shd w:val="clear" w:color="auto" w:fill="FFFFFF"/>
        </w:rPr>
        <w:t>%，较年初预算数增加66.84万元，增长32.46%，主要原因是本年度预算执行中将超额绩效纳入养老保险和职业年金基数致社会保障与就业支出增加调整年初预算。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41.17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%，较年初预算数减少5.19万元，下降11.19%，</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致医疗保险支出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4.20</w:t>
      </w:r>
      <w:r>
        <w:rPr>
          <w:rFonts w:ascii="方正仿宋_GBK" w:hAnsi="方正仿宋_GBK" w:eastAsia="方正仿宋_GBK" w:cs="方正仿宋_GBK"/>
          <w:sz w:val="32"/>
          <w:szCs w:val="32"/>
          <w:shd w:val="clear" w:color="auto" w:fill="FFFFFF"/>
        </w:rPr>
        <w:t>%，较年初预算数减少6.23万元，下降11.20%，</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w:t>
      </w:r>
      <w:r>
        <w:rPr>
          <w:rFonts w:ascii="方正仿宋_GBK" w:hAnsi="方正仿宋_GBK" w:eastAsia="方正仿宋_GBK" w:cs="方正仿宋_GBK"/>
          <w:sz w:val="32"/>
          <w:szCs w:val="32"/>
        </w:rPr>
        <w:t>住房保障支出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1103.27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1082.61</w:t>
      </w:r>
      <w:r>
        <w:rPr>
          <w:rFonts w:ascii="方正仿宋_GBK" w:hAnsi="方正仿宋_GBK" w:eastAsia="方正仿宋_GBK" w:cs="方正仿宋_GBK"/>
          <w:sz w:val="32"/>
          <w:szCs w:val="32"/>
          <w:shd w:val="clear" w:color="auto" w:fill="FFFFFF"/>
        </w:rPr>
        <w:t>万元，与2023年度相比，减少264.51万元，下降19.64%，</w:t>
      </w:r>
      <w:r>
        <w:rPr>
          <w:rFonts w:ascii="方正仿宋_GBK" w:eastAsia="方正仿宋_GBK"/>
          <w:sz w:val="32"/>
          <w:szCs w:val="32"/>
          <w:shd w:val="clear" w:color="auto" w:fill="FFFFFF"/>
        </w:rPr>
        <w:t>主要原因是2023年清算补发以前年度超额绩效和健康休养费且本年因教师人数减少致人员经费减少。</w:t>
      </w:r>
      <w:r>
        <w:rPr>
          <w:rFonts w:ascii="方正仿宋_GBK" w:eastAsia="方正仿宋_GBK"/>
          <w:color w:val="000000"/>
          <w:sz w:val="32"/>
          <w:szCs w:val="32"/>
        </w:rPr>
        <w:t>人员经费用途主要包括教师统发工资、绩效工资、社会保障和就业支出、医疗卫生支出和住房保障支出。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20.65</w:t>
      </w:r>
      <w:r>
        <w:rPr>
          <w:rFonts w:ascii="方正仿宋_GBK" w:hAnsi="方正仿宋_GBK" w:eastAsia="方正仿宋_GBK" w:cs="方正仿宋_GBK"/>
          <w:sz w:val="32"/>
          <w:szCs w:val="32"/>
          <w:shd w:val="clear" w:color="auto" w:fill="FFFFFF"/>
        </w:rPr>
        <w:t>万元，与2023年度相比，减少2.93万元，下降12.43%，主要原因是本年因学生人数减少致公用经费下降。公用经费用途主要包括学校正常运行的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万元，与2023年度相比，增加0.43万元，增长12.04%，</w:t>
      </w:r>
      <w:r>
        <w:rPr>
          <w:rFonts w:hint="eastAsia" w:ascii="方正仿宋_GBK" w:hAnsi="方正仿宋_GBK" w:eastAsia="方正仿宋_GBK" w:cs="方正仿宋_GBK"/>
          <w:sz w:val="32"/>
          <w:szCs w:val="32"/>
          <w:shd w:val="clear" w:color="auto" w:fill="FFFFFF"/>
        </w:rPr>
        <w:t>本年乡村少年宫安排的政府性基金预算拨款已经全部实现支出。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万元，与2023年度相比，增加0.43万元，增长12.04%，</w:t>
      </w:r>
      <w:r>
        <w:rPr>
          <w:rFonts w:hint="eastAsia" w:ascii="方正仿宋_GBK" w:hAnsi="方正仿宋_GBK" w:eastAsia="方正仿宋_GBK" w:cs="方正仿宋_GBK"/>
          <w:sz w:val="32"/>
          <w:szCs w:val="32"/>
          <w:shd w:val="clear" w:color="auto" w:fill="FFFFFF"/>
        </w:rPr>
        <w:t>本年乡村少年宫安排的政府性基金预算拨款已经全部实现支出。</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ind w:firstLine="640" w:firstLineChars="200"/>
        <w:rPr>
          <w:rStyle w:val="10"/>
          <w:rFonts w:hint="default" w:ascii="方正黑体_GBK" w:hAnsi="Times New Roman" w:eastAsia="方正黑体_GBK"/>
          <w:b w:val="0"/>
          <w:color w:val="000000" w:themeColor="text1"/>
          <w:sz w:val="32"/>
          <w:szCs w:val="32"/>
          <w14:textFill>
            <w14:solidFill>
              <w14:schemeClr w14:val="tx1"/>
            </w14:solidFill>
          </w14:textFill>
        </w:rPr>
      </w:pPr>
      <w:r>
        <w:rPr>
          <w:rStyle w:val="10"/>
          <w:rFonts w:ascii="方正黑体_GBK" w:hAnsi="Times New Roman" w:eastAsia="方正黑体_GBK"/>
          <w:b w:val="0"/>
          <w:color w:val="000000" w:themeColor="text1"/>
          <w:sz w:val="32"/>
          <w:szCs w:val="32"/>
          <w14:textFill>
            <w14:solidFill>
              <w14:schemeClr w14:val="tx1"/>
            </w14:solidFill>
          </w14:textFill>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  （一）财政拨款会议费和培训费情况说明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3.84</w:t>
      </w:r>
      <w:r>
        <w:rPr>
          <w:rFonts w:ascii="方正仿宋_GBK" w:hAnsi="方正仿宋_GBK" w:eastAsia="方正仿宋_GBK" w:cs="方正仿宋_GBK"/>
          <w:sz w:val="32"/>
          <w:szCs w:val="32"/>
          <w:shd w:val="clear" w:color="auto" w:fill="FFFFFF"/>
        </w:rPr>
        <w:t>万元，与2023年度相比，减少0.94万元，下降19.67%，</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学校压</w:t>
      </w:r>
      <w:r>
        <w:rPr>
          <w:rFonts w:hint="eastAsia" w:ascii="方正仿宋_GBK" w:hAnsi="方正仿宋_GBK" w:eastAsia="方正仿宋_GBK" w:cs="方正仿宋_GBK"/>
          <w:sz w:val="32"/>
          <w:szCs w:val="32"/>
          <w:shd w:val="clear" w:color="auto" w:fill="FFFFFF"/>
          <w:lang w:eastAsia="zh-CN"/>
        </w:rPr>
        <w:t>减培训等</w:t>
      </w:r>
      <w:r>
        <w:rPr>
          <w:rFonts w:hint="eastAsia" w:ascii="方正仿宋_GBK" w:hAnsi="方正仿宋_GBK" w:eastAsia="方正仿宋_GBK" w:cs="方正仿宋_GBK"/>
          <w:sz w:val="32"/>
          <w:szCs w:val="32"/>
          <w:shd w:val="clear" w:color="auto" w:fill="FFFFFF"/>
        </w:rPr>
        <w:t>公用经费支出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五、2024年度</w:t>
      </w:r>
      <w:r>
        <w:rPr>
          <w:rStyle w:val="10"/>
          <w:rFonts w:hint="eastAsia" w:ascii="方正黑体_GBK" w:hAnsi="方正黑体_GBK" w:eastAsia="方正黑体_GBK" w:cs="方正黑体_GBK"/>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lang w:val="en-US" w:eastAsia="zh-CN"/>
        </w:rPr>
        <w:t>2</w:t>
      </w:r>
      <w:r>
        <w:rPr>
          <w:rFonts w:hint="eastAsia" w:ascii="方正仿宋_GBK" w:hAnsi="方正仿宋_GBK" w:eastAsia="方正仿宋_GBK" w:cs="方正仿宋_GBK"/>
          <w:color w:val="000000"/>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000000"/>
          <w:sz w:val="32"/>
          <w:szCs w:val="32"/>
          <w:shd w:val="clear" w:color="auto" w:fill="FFFFFF"/>
          <w:lang w:val="en-US" w:eastAsia="zh-CN"/>
        </w:rPr>
        <w:t>73.10</w:t>
      </w:r>
      <w:r>
        <w:rPr>
          <w:rFonts w:hint="eastAsia" w:ascii="方正仿宋_GBK" w:hAnsi="方正仿宋_GBK" w:eastAsia="方正仿宋_GBK" w:cs="方正仿宋_GBK"/>
          <w:color w:val="000000"/>
          <w:sz w:val="32"/>
          <w:szCs w:val="32"/>
          <w:shd w:val="clear" w:color="auto" w:fill="FFFFFF"/>
        </w:rPr>
        <w:t>万元。</w:t>
      </w:r>
    </w:p>
    <w:p>
      <w:pPr>
        <w:rPr>
          <w:rFonts w:hint="default"/>
        </w:rPr>
      </w:pPr>
      <w:r>
        <w:drawing>
          <wp:inline distT="0" distB="0" distL="114300" distR="114300">
            <wp:extent cx="5563235" cy="4938395"/>
            <wp:effectExtent l="0" t="0" r="8890"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563235" cy="4938395"/>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511800" cy="4946015"/>
            <wp:effectExtent l="0" t="0" r="317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51180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ind w:firstLine="640" w:firstLineChars="200"/>
        <w:rPr>
          <w:rStyle w:val="10"/>
          <w:rFonts w:hint="default" w:ascii="方正黑体_GBK" w:hAnsi="Times New Roman" w:eastAsia="方正黑体_GBK"/>
          <w:b w:val="0"/>
          <w:color w:val="000000" w:themeColor="text1"/>
          <w:sz w:val="32"/>
          <w:szCs w:val="32"/>
          <w14:textFill>
            <w14:solidFill>
              <w14:schemeClr w14:val="tx1"/>
            </w14:solidFill>
          </w14:textFill>
        </w:rPr>
      </w:pPr>
      <w:r>
        <w:rPr>
          <w:rStyle w:val="10"/>
          <w:rFonts w:ascii="方正黑体_GBK" w:hAnsi="Times New Roman" w:eastAsia="方正黑体_GBK"/>
          <w:b w:val="0"/>
          <w:color w:val="000000" w:themeColor="text1"/>
          <w:sz w:val="32"/>
          <w:szCs w:val="32"/>
          <w14:textFill>
            <w14:solidFill>
              <w14:schemeClr w14:val="tx1"/>
            </w14:solidFill>
          </w14:textFill>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rPr>
        <w:t xml:space="preserve">胡老师   </w:t>
      </w:r>
      <w:r>
        <w:rPr>
          <w:rFonts w:ascii="方正仿宋_GBK" w:hAnsi="方正仿宋_GBK" w:eastAsia="方正仿宋_GBK" w:cs="方正仿宋_GBK"/>
          <w:sz w:val="32"/>
        </w:rPr>
        <w:t>023-74570196</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垫江县龙桥学校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1,176.37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841.19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1,215.39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1,208.49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1,215.39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1,215.39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6" w:type="dxa"/>
        <w:tblInd w:w="0" w:type="dxa"/>
        <w:tblLayout w:type="fixed"/>
        <w:tblCellMar>
          <w:top w:w="0" w:type="dxa"/>
          <w:left w:w="0" w:type="dxa"/>
          <w:bottom w:w="0" w:type="dxa"/>
          <w:right w:w="0" w:type="dxa"/>
        </w:tblCellMar>
      </w:tblPr>
      <w:tblGrid>
        <w:gridCol w:w="1637"/>
        <w:gridCol w:w="3230"/>
        <w:gridCol w:w="1312"/>
        <w:gridCol w:w="1372"/>
        <w:gridCol w:w="1192"/>
        <w:gridCol w:w="1195"/>
        <w:gridCol w:w="1328"/>
        <w:gridCol w:w="1266"/>
        <w:gridCol w:w="1400"/>
        <w:gridCol w:w="1624"/>
      </w:tblGrid>
      <w:tr>
        <w:tblPrEx>
          <w:tblLayout w:type="fixed"/>
          <w:tblCellMar>
            <w:top w:w="0" w:type="dxa"/>
            <w:left w:w="0" w:type="dxa"/>
            <w:bottom w:w="0" w:type="dxa"/>
            <w:right w:w="0" w:type="dxa"/>
          </w:tblCellMar>
        </w:tblPrEx>
        <w:trPr>
          <w:trHeight w:val="641" w:hRule="atLeast"/>
        </w:trPr>
        <w:tc>
          <w:tcPr>
            <w:tcW w:w="15556"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7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垫江县龙桥学校</w:t>
            </w:r>
          </w:p>
        </w:tc>
        <w:tc>
          <w:tcPr>
            <w:tcW w:w="13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7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83"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83"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1,215.39</w:t>
            </w:r>
            <w:r>
              <w:rPr>
                <w:rFonts w:ascii="Times New Roman" w:hAnsi="Times New Roman"/>
                <w:b/>
                <w:color w:val="000000"/>
                <w:sz w:val="20"/>
                <w:u w:color="auto"/>
              </w:rPr>
              <w:t xml:space="preserve"> </w:t>
            </w:r>
          </w:p>
        </w:tc>
        <w:tc>
          <w:tcPr>
            <w:tcW w:w="13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1,180.37</w:t>
            </w:r>
            <w:r>
              <w:rPr>
                <w:rFonts w:ascii="Times New Roman" w:hAnsi="Times New Roman"/>
                <w:b/>
                <w:color w:val="000000"/>
                <w:sz w:val="20"/>
                <w:u w:color="auto"/>
              </w:rPr>
              <w:t xml:space="preserve"> </w:t>
            </w: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12.59</w:t>
            </w:r>
            <w:r>
              <w:rPr>
                <w:rFonts w:ascii="Times New Roman" w:hAnsi="Times New Roman"/>
                <w:b/>
                <w:color w:val="000000"/>
                <w:sz w:val="20"/>
                <w:u w:color="auto"/>
              </w:rPr>
              <w:t xml:space="preserve"> </w:t>
            </w:r>
          </w:p>
        </w:tc>
        <w:tc>
          <w:tcPr>
            <w:tcW w:w="1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12.59</w:t>
            </w:r>
            <w:r>
              <w:rPr>
                <w:rFonts w:ascii="Times New Roman" w:hAnsi="Times New Roman"/>
                <w:b/>
                <w:color w:val="000000"/>
                <w:sz w:val="20"/>
                <w:u w:color="auto"/>
              </w:rPr>
              <w:t xml:space="preserve"> </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848.09</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813.06</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845.87</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810.85</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12.59</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12.59</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829.21</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806.78</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272.74</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272.74</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264.55</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264.55</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106.82</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106.82</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52.97</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52.97</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104.75</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104.75</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49.40</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49.40</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垫江县龙桥学校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83"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83"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1,208.49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1,128.75</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79.75</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841.19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765.75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838.97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763.53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828.37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757.11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272.74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272.43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264.55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264.24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垫江县龙桥学校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1,176.37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813.06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813.06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1,180.37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1,180.37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1,176.37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1,180.37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1,180.37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1,176.37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垫江县龙桥学校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1,176.37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1,103.27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813.06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740.27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810.85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738.06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806.78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738.06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272.74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272.43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264.55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264.24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104.75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垫江县龙桥学校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969.97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447.66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112.64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82.57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1,082.61</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垫江县龙桥学校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垫江县龙桥学校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垫江县龙桥学校</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3.84</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10B"/>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082B41"/>
    <w:rsid w:val="2B167953"/>
    <w:rsid w:val="2B200583"/>
    <w:rsid w:val="2B8209DE"/>
    <w:rsid w:val="2C636760"/>
    <w:rsid w:val="2C6762A3"/>
    <w:rsid w:val="2FCA4B37"/>
    <w:rsid w:val="2FE029D7"/>
    <w:rsid w:val="2FF06E00"/>
    <w:rsid w:val="30586FEC"/>
    <w:rsid w:val="315F0B22"/>
    <w:rsid w:val="31D84415"/>
    <w:rsid w:val="31E97580"/>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9736E7"/>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1C1E33"/>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3C4400"/>
    <w:rsid w:val="4A6F6675"/>
    <w:rsid w:val="4ACF215B"/>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82060E"/>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8952</Words>
  <Characters>11843</Characters>
  <Lines>190</Lines>
  <Paragraphs>53</Paragraphs>
  <TotalTime>1</TotalTime>
  <ScaleCrop>false</ScaleCrop>
  <LinksUpToDate>false</LinksUpToDate>
  <CharactersWithSpaces>12980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2025-09-22T08:08:02Z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