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垫江县天街小学校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pStyle w:val="16"/>
        <w:tabs>
          <w:tab w:val="center" w:pos="4153"/>
          <w:tab w:val="left" w:pos="7275"/>
        </w:tabs>
        <w:spacing w:line="600" w:lineRule="exact"/>
        <w:ind w:firstLine="640"/>
        <w:jc w:val="left"/>
        <w:rPr>
          <w:rFonts w:eastAsia="方正仿宋_GBK"/>
          <w:sz w:val="32"/>
          <w:szCs w:val="32"/>
        </w:rPr>
      </w:pPr>
      <w:r>
        <w:rPr>
          <w:rFonts w:eastAsia="方正仿宋_GBK"/>
          <w:sz w:val="32"/>
          <w:szCs w:val="32"/>
        </w:rPr>
        <w:t>负责辖区适龄儿童义务教育工作；负责辖区学前儿童教育与保育工作。</w:t>
      </w:r>
    </w:p>
    <w:p>
      <w:pPr>
        <w:pStyle w:val="16"/>
        <w:tabs>
          <w:tab w:val="center" w:pos="4153"/>
          <w:tab w:val="left" w:pos="7275"/>
        </w:tabs>
        <w:spacing w:line="600" w:lineRule="exact"/>
        <w:ind w:firstLine="643"/>
        <w:jc w:val="left"/>
        <w:rPr>
          <w:rFonts w:eastAsia="方正仿宋_GBK"/>
          <w:sz w:val="32"/>
          <w:szCs w:val="32"/>
        </w:rPr>
      </w:pPr>
      <w:r>
        <w:rPr>
          <w:rStyle w:val="10"/>
          <w:rFonts w:hint="eastAsia"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sz w:val="32"/>
          <w:szCs w:val="32"/>
        </w:rPr>
        <w:t>学校单位领导职数3名，其中：校长1名、副校长2名；内设机构领导职数4名。内设机构有德育处、教务处、教科处、后勤处。</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2024年度收入总计1571.31万元，支出总计</w:t>
      </w:r>
      <w:r>
        <w:rPr>
          <w:rFonts w:ascii="方正仿宋_GBK" w:hAnsi="方正仿宋_GBK" w:eastAsia="方正仿宋_GBK" w:cs="方正仿宋_GBK"/>
          <w:sz w:val="32"/>
          <w:szCs w:val="32"/>
        </w:rPr>
        <w:t>1571.31</w:t>
      </w:r>
      <w:r>
        <w:rPr>
          <w:rFonts w:ascii="方正仿宋_GBK" w:hAnsi="方正仿宋_GBK" w:eastAsia="方正仿宋_GBK" w:cs="方正仿宋_GBK"/>
          <w:sz w:val="32"/>
          <w:szCs w:val="32"/>
          <w:shd w:val="clear" w:color="auto" w:fill="FFFFFF"/>
        </w:rPr>
        <w:t>万元。收、支与2023年度相比，增加1571.31万元，增长100.00%，主要原因是本单位是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2024年度收入合计1553.72万元，与2023年度相比，增加1553.72万元，增长100.00%，主要原因是本单位是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1390.56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89.50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163.16</w:t>
      </w:r>
      <w:r>
        <w:rPr>
          <w:rFonts w:ascii="方正仿宋_GBK" w:hAnsi="方正仿宋_GBK" w:eastAsia="方正仿宋_GBK" w:cs="方正仿宋_GBK"/>
          <w:sz w:val="32"/>
          <w:szCs w:val="32"/>
          <w:shd w:val="clear" w:color="auto" w:fill="FFFFFF"/>
        </w:rPr>
        <w:t>万元，占10.50%。此外，使用非财政拨款结余和专用结余</w:t>
      </w:r>
      <w:r>
        <w:rPr>
          <w:rFonts w:ascii="方正仿宋_GBK" w:hAnsi="方正仿宋_GBK" w:eastAsia="方正仿宋_GBK" w:cs="方正仿宋_GBK"/>
          <w:sz w:val="32"/>
          <w:szCs w:val="32"/>
        </w:rPr>
        <w:t>17.59</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1571.31</w:t>
      </w:r>
      <w:r>
        <w:rPr>
          <w:rFonts w:ascii="方正仿宋_GBK" w:hAnsi="方正仿宋_GBK" w:eastAsia="方正仿宋_GBK" w:cs="方正仿宋_GBK"/>
          <w:sz w:val="32"/>
          <w:szCs w:val="32"/>
          <w:shd w:val="clear" w:color="auto" w:fill="FFFFFF"/>
        </w:rPr>
        <w:t>万元，与2023年度相比，增加1571.31万元，增长100.00%，主要原因是本单位是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1174.26</w:t>
      </w:r>
      <w:r>
        <w:rPr>
          <w:rFonts w:ascii="方正仿宋_GBK" w:hAnsi="方正仿宋_GBK" w:eastAsia="方正仿宋_GBK" w:cs="方正仿宋_GBK"/>
          <w:sz w:val="32"/>
          <w:szCs w:val="32"/>
          <w:shd w:val="clear" w:color="auto" w:fill="FFFFFF"/>
        </w:rPr>
        <w:t>万元，占74.73%；项目支出</w:t>
      </w:r>
      <w:r>
        <w:rPr>
          <w:rFonts w:ascii="方正仿宋_GBK" w:hAnsi="方正仿宋_GBK" w:eastAsia="方正仿宋_GBK" w:cs="方正仿宋_GBK"/>
          <w:sz w:val="32"/>
          <w:szCs w:val="32"/>
        </w:rPr>
        <w:t>397.05</w:t>
      </w:r>
      <w:r>
        <w:rPr>
          <w:rFonts w:ascii="方正仿宋_GBK" w:hAnsi="方正仿宋_GBK" w:eastAsia="方正仿宋_GBK" w:cs="方正仿宋_GBK"/>
          <w:sz w:val="32"/>
          <w:szCs w:val="32"/>
          <w:shd w:val="clear" w:color="auto" w:fill="FFFFFF"/>
        </w:rPr>
        <w:t>万元，占25.27%；经营支出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2024年度财政拨款收、支总计1390.56万元。与2023年相比，财政拨款收、支总计各增加1390.56万元，增长100.00%。主要原因是本单位是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1390.56</w:t>
      </w:r>
      <w:r>
        <w:rPr>
          <w:rFonts w:ascii="方正仿宋_GBK" w:hAnsi="方正仿宋_GBK" w:eastAsia="方正仿宋_GBK" w:cs="方正仿宋_GBK"/>
          <w:sz w:val="32"/>
          <w:szCs w:val="32"/>
          <w:shd w:val="clear" w:color="auto" w:fill="FFFFFF"/>
        </w:rPr>
        <w:t>万元，与2023年度相比，增加1390.56万元，增长100.00%。主要原因是本单位是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r>
        <w:rPr>
          <w:rFonts w:ascii="方正仿宋_GBK" w:hAnsi="方正仿宋_GBK" w:eastAsia="方正仿宋_GBK" w:cs="方正仿宋_GBK"/>
          <w:sz w:val="32"/>
          <w:szCs w:val="32"/>
          <w:shd w:val="clear" w:color="auto" w:fill="FFFFFF"/>
        </w:rPr>
        <w:t>较年初预算数增加1390.56万元，增长100.00%。主要原因是本单位是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1390.56</w:t>
      </w:r>
      <w:r>
        <w:rPr>
          <w:rFonts w:ascii="方正仿宋_GBK" w:hAnsi="方正仿宋_GBK" w:eastAsia="方正仿宋_GBK" w:cs="方正仿宋_GBK"/>
          <w:sz w:val="32"/>
          <w:szCs w:val="32"/>
          <w:shd w:val="clear" w:color="auto" w:fill="FFFFFF"/>
        </w:rPr>
        <w:t>万元，与2023年度相比，增加1390.56万元，增长100.00%。主要原因是本单位是</w:t>
      </w:r>
      <w:r>
        <w:rPr>
          <w:rFonts w:hint="default" w:ascii="方正仿宋_GBK" w:hAnsi="方正仿宋_GBK" w:eastAsia="方正仿宋_GBK" w:cs="方正仿宋_GBK"/>
          <w:sz w:val="32"/>
          <w:szCs w:val="32"/>
          <w:shd w:val="clear" w:color="auto" w:fill="FFFFFF"/>
        </w:rPr>
        <w:t>2024年9月新成立单位，上年度无数据。</w:t>
      </w:r>
      <w:r>
        <w:rPr>
          <w:rFonts w:ascii="方正仿宋_GBK" w:hAnsi="方正仿宋_GBK" w:eastAsia="方正仿宋_GBK" w:cs="方正仿宋_GBK"/>
          <w:sz w:val="32"/>
          <w:szCs w:val="32"/>
          <w:shd w:val="clear" w:color="auto" w:fill="FFFFFF"/>
        </w:rPr>
        <w:t>较年初预算数增加1390.56万元，增长100.00%。主要原因是本单位是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1146.68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82.46</w:t>
      </w:r>
      <w:r>
        <w:rPr>
          <w:rFonts w:ascii="方正仿宋_GBK" w:hAnsi="方正仿宋_GBK" w:eastAsia="方正仿宋_GBK" w:cs="方正仿宋_GBK"/>
          <w:sz w:val="32"/>
          <w:szCs w:val="32"/>
          <w:shd w:val="clear" w:color="auto" w:fill="FFFFFF"/>
        </w:rPr>
        <w:t>%，较年初预算数增加1146.68万元，增长100.00%，主要原因是本单位是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152.41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10.96</w:t>
      </w:r>
      <w:r>
        <w:rPr>
          <w:rFonts w:ascii="方正仿宋_GBK" w:hAnsi="方正仿宋_GBK" w:eastAsia="方正仿宋_GBK" w:cs="方正仿宋_GBK"/>
          <w:sz w:val="32"/>
          <w:szCs w:val="32"/>
          <w:shd w:val="clear" w:color="auto" w:fill="FFFFFF"/>
        </w:rPr>
        <w:t>%，较年初预算数增加152.41万元，增长100.00%，主要原因是本单位是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41.75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%，较年初预算数增加41.75万元，增长100.00%，主要原因是本单位是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住房保障支出49.72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3.58</w:t>
      </w:r>
      <w:r>
        <w:rPr>
          <w:rFonts w:ascii="方正仿宋_GBK" w:hAnsi="方正仿宋_GBK" w:eastAsia="方正仿宋_GBK" w:cs="方正仿宋_GBK"/>
          <w:sz w:val="32"/>
          <w:szCs w:val="32"/>
          <w:shd w:val="clear" w:color="auto" w:fill="FFFFFF"/>
        </w:rPr>
        <w:t>%，较年初预算数增加49.72万元，增长100.00%，主要原因是本单位是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年初</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993.51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980.11</w:t>
      </w:r>
      <w:r>
        <w:rPr>
          <w:rFonts w:ascii="方正仿宋_GBK" w:hAnsi="方正仿宋_GBK" w:eastAsia="方正仿宋_GBK" w:cs="方正仿宋_GBK"/>
          <w:sz w:val="32"/>
          <w:szCs w:val="32"/>
          <w:shd w:val="clear" w:color="auto" w:fill="FFFFFF"/>
        </w:rPr>
        <w:t>万元，与2023年度相比，增加980.11万元，增长100.00%，主要原因是本单位是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上年度</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13.39</w:t>
      </w:r>
      <w:r>
        <w:rPr>
          <w:rFonts w:ascii="方正仿宋_GBK" w:hAnsi="方正仿宋_GBK" w:eastAsia="方正仿宋_GBK" w:cs="方正仿宋_GBK"/>
          <w:sz w:val="32"/>
          <w:szCs w:val="32"/>
          <w:shd w:val="clear" w:color="auto" w:fill="FFFFFF"/>
        </w:rPr>
        <w:t>万元，与2023年度相比，增加13.39万元，增长100.00%，主要原因是本单位是</w:t>
      </w:r>
      <w:r>
        <w:rPr>
          <w:rFonts w:hint="default" w:ascii="方正仿宋_GBK" w:hAnsi="方正仿宋_GBK" w:eastAsia="方正仿宋_GBK" w:cs="方正仿宋_GBK"/>
          <w:sz w:val="32"/>
          <w:szCs w:val="32"/>
          <w:shd w:val="clear" w:color="auto" w:fill="FFFFFF"/>
        </w:rPr>
        <w:t>2024年9月新成立单位，</w:t>
      </w:r>
      <w:r>
        <w:rPr>
          <w:rFonts w:ascii="方正仿宋_GBK" w:hAnsi="方正仿宋_GBK" w:eastAsia="方正仿宋_GBK" w:cs="方正仿宋_GBK"/>
          <w:sz w:val="32"/>
          <w:szCs w:val="32"/>
          <w:shd w:val="clear" w:color="auto" w:fill="FFFFFF"/>
        </w:rPr>
        <w:t>上年度</w:t>
      </w:r>
      <w:r>
        <w:rPr>
          <w:rFonts w:hint="default" w:ascii="方正仿宋_GBK" w:hAnsi="方正仿宋_GBK" w:eastAsia="方正仿宋_GBK" w:cs="方正仿宋_GBK"/>
          <w:sz w:val="32"/>
          <w:szCs w:val="32"/>
          <w:shd w:val="clear" w:color="auto" w:fill="FFFFFF"/>
        </w:rPr>
        <w:t>无数据</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8.65</w:t>
      </w:r>
      <w:r>
        <w:rPr>
          <w:rFonts w:ascii="方正仿宋_GBK" w:hAnsi="方正仿宋_GBK" w:eastAsia="方正仿宋_GBK" w:cs="方正仿宋_GBK"/>
          <w:sz w:val="32"/>
          <w:szCs w:val="32"/>
          <w:shd w:val="clear" w:color="auto" w:fill="FFFFFF"/>
        </w:rPr>
        <w:t>万元，与2023年度相比，增加8.65万元，增长100.00%，主要原因是本单位是2024年9月新成立单位，上年度无数据</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6"/>
        <w:snapToGrid w:val="0"/>
        <w:spacing w:before="0" w:beforeAutospacing="0" w:after="0" w:afterAutospacing="0" w:line="600" w:lineRule="exact"/>
        <w:ind w:firstLine="643" w:firstLineChars="200"/>
        <w:jc w:val="both"/>
        <w:rPr>
          <w:rFonts w:hint="default" w:ascii="方正楷体_GBK" w:hAnsi="楷体" w:eastAsia="方正楷体_GBK" w:cs="楷体"/>
          <w:b/>
          <w:bCs/>
          <w:sz w:val="32"/>
          <w:szCs w:val="32"/>
          <w:shd w:val="clear" w:color="auto" w:fill="FFFFFF"/>
        </w:rPr>
      </w:pPr>
      <w:r>
        <w:rPr>
          <w:rFonts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135.63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135.63</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135.63万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135.63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%。主要用于采购校舍附属设施建设。</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个二级项目开展了绩效自评，涉及财政拨款项目支出资金397.05万元。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43525" cy="4938395"/>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43525" cy="4938395"/>
                    </a:xfrm>
                    <a:prstGeom prst="rect">
                      <a:avLst/>
                    </a:prstGeom>
                    <a:noFill/>
                    <a:ln>
                      <a:noFill/>
                    </a:ln>
                  </pic:spPr>
                </pic:pic>
              </a:graphicData>
            </a:graphic>
          </wp:inline>
        </w:drawing>
      </w:r>
      <w:r>
        <w:drawing>
          <wp:inline distT="0" distB="0" distL="114300" distR="114300">
            <wp:extent cx="5353050" cy="5335270"/>
            <wp:effectExtent l="0" t="0" r="0" b="825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53050" cy="5335270"/>
                    </a:xfrm>
                    <a:prstGeom prst="rect">
                      <a:avLst/>
                    </a:prstGeom>
                    <a:noFill/>
                    <a:ln>
                      <a:noFill/>
                    </a:ln>
                  </pic:spPr>
                </pic:pic>
              </a:graphicData>
            </a:graphic>
          </wp:inline>
        </w:drawing>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Fonts w:hint="default"/>
          <w:sz w:val="32"/>
          <w:szCs w:val="32"/>
          <w:shd w:val="clear" w:color="auto" w:fill="FFFFFF"/>
        </w:rPr>
      </w:pPr>
      <w:r>
        <w:rPr>
          <w:rFonts w:ascii="方正仿宋_GBK" w:hAnsi="方正仿宋_GBK" w:eastAsia="方正仿宋_GBK" w:cs="方正仿宋_GBK"/>
          <w:sz w:val="32"/>
          <w:szCs w:val="32"/>
        </w:rPr>
        <w:t>董老师   023-74530433</w:t>
      </w:r>
    </w:p>
    <w:p>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垫江县天街小学校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1,327.43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1,553.72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1,571.31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1,571.31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垫江县天街小学校</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40" w:hRule="exac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1,553.72</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1,390.56</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1,309.84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1,146.68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1,243.41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1,080.24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1,243.41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垫江县天街小学校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1,571.31</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1,174.26</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397.05</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1,327.43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397.03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928.52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332.48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1,260.99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928.52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332.48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152.39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垫江县天街小学校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1,146.68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1,390.56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垫江县天街小学校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1,390.56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993.51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397.05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1,146.68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749.65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397.03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1,080.24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747.77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747.77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其他教育费附加安排的支出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152.39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49.72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49.72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垫江县天街小学校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974.51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231.69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486.94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980.11</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垫江县天街小学校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垫江县天街小学校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垫江县天街小学校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135.63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E6EF2"/>
    <w:rsid w:val="00261065"/>
    <w:rsid w:val="002D0E5A"/>
    <w:rsid w:val="002E5443"/>
    <w:rsid w:val="0032196C"/>
    <w:rsid w:val="004C12FF"/>
    <w:rsid w:val="00550ABE"/>
    <w:rsid w:val="005B023C"/>
    <w:rsid w:val="00600322"/>
    <w:rsid w:val="006137D7"/>
    <w:rsid w:val="00634FA8"/>
    <w:rsid w:val="0063613A"/>
    <w:rsid w:val="006456DF"/>
    <w:rsid w:val="006E2034"/>
    <w:rsid w:val="00732392"/>
    <w:rsid w:val="00792285"/>
    <w:rsid w:val="007A0D2E"/>
    <w:rsid w:val="007A3314"/>
    <w:rsid w:val="007B419D"/>
    <w:rsid w:val="00810F13"/>
    <w:rsid w:val="008941DC"/>
    <w:rsid w:val="00944711"/>
    <w:rsid w:val="009821E3"/>
    <w:rsid w:val="00984852"/>
    <w:rsid w:val="009B67B8"/>
    <w:rsid w:val="009E04D7"/>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43E87"/>
    <w:rsid w:val="00F73F90"/>
    <w:rsid w:val="00F75D31"/>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7595A"/>
    <w:rsid w:val="0B9335CE"/>
    <w:rsid w:val="0C7927C4"/>
    <w:rsid w:val="0C9B098C"/>
    <w:rsid w:val="0D673E11"/>
    <w:rsid w:val="0DDA54E4"/>
    <w:rsid w:val="0E3A5F83"/>
    <w:rsid w:val="0E74421A"/>
    <w:rsid w:val="0F836721"/>
    <w:rsid w:val="0FA25D96"/>
    <w:rsid w:val="107B59E5"/>
    <w:rsid w:val="10AB0346"/>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8B64A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7152C3"/>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600340"/>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4846</Words>
  <Characters>5527</Characters>
  <Lines>99</Lines>
  <Paragraphs>27</Paragraphs>
  <TotalTime>2</TotalTime>
  <ScaleCrop>false</ScaleCrop>
  <LinksUpToDate>false</LinksUpToDate>
  <CharactersWithSpaces>5581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2025-09-22T09:25:31Z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10E2219174304DA697BE2C514A72FCE3_13</vt:lpwstr>
  </property>
  <property fmtid="{D5CDD505-2E9C-101B-9397-08002B2CF9AE}" pid="4" name="KSOTemplateDocerSaveRecord">
    <vt:lpwstr>eyJoZGlkIjoiNjM0Zjk5YTc4NjQ1NmYyOGViZjRkNWIzZWJhYTE3YWEiLCJ1c2VySWQiOiIzODk0NTM2OTAifQ==</vt:lpwstr>
  </property>
</Properties>
</file>