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垫江县桂溪小学校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szCs w:val="32"/>
        </w:rPr>
      </w:pP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1</w:t>
      </w:r>
      <w:r>
        <w:rPr>
          <w:rFonts w:hint="eastAsia" w:ascii="方正仿宋_GBK" w:eastAsia="方正仿宋_GBK" w:cs="方正仿宋_GBK"/>
          <w:sz w:val="32"/>
          <w:szCs w:val="32"/>
          <w:lang w:val="en-US" w:eastAsia="zh-CN"/>
        </w:rPr>
        <w:t>.</w:t>
      </w:r>
      <w:r>
        <w:rPr>
          <w:rFonts w:eastAsia="方正仿宋_GBK" w:cs="方正仿宋_GBK"/>
          <w:sz w:val="32"/>
          <w:szCs w:val="32"/>
        </w:rPr>
        <w:t>负责适龄儿童义务教育工作。</w:t>
      </w:r>
    </w:p>
    <w:p>
      <w:pPr>
        <w:spacing w:line="600" w:lineRule="exact"/>
        <w:ind w:firstLine="640" w:firstLineChars="200"/>
        <w:rPr>
          <w:rFonts w:hint="default" w:eastAsia="方正仿宋_GBK"/>
          <w:sz w:val="32"/>
          <w:szCs w:val="32"/>
        </w:rPr>
      </w:pPr>
      <w:r>
        <w:rPr>
          <w:rFonts w:eastAsia="方正仿宋_GBK"/>
          <w:sz w:val="32"/>
          <w:szCs w:val="32"/>
        </w:rPr>
        <w:t>2</w:t>
      </w:r>
      <w:r>
        <w:rPr>
          <w:rFonts w:hint="eastAsia" w:ascii="方正仿宋_GBK" w:eastAsia="方正仿宋_GBK" w:cs="方正仿宋_GBK"/>
          <w:sz w:val="32"/>
          <w:szCs w:val="32"/>
          <w:lang w:val="en-US" w:eastAsia="zh-CN"/>
        </w:rPr>
        <w:t>.</w:t>
      </w:r>
      <w:r>
        <w:rPr>
          <w:rFonts w:eastAsia="方正仿宋_GBK" w:cs="方正仿宋_GBK"/>
          <w:sz w:val="32"/>
          <w:szCs w:val="32"/>
        </w:rPr>
        <w:t>受县教育行政部门委托，做好党的教育方针及教育法规贯彻落实，做好所在地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600" w:lineRule="exact"/>
        <w:ind w:firstLine="643" w:firstLineChars="200"/>
        <w:rPr>
          <w:rFonts w:hint="default" w:eastAsia="方正楷体_GBK"/>
          <w:b/>
          <w:bCs/>
          <w:sz w:val="32"/>
          <w:szCs w:val="32"/>
        </w:rPr>
      </w:pPr>
      <w:r>
        <w:rPr>
          <w:rFonts w:eastAsia="方正楷体_GBK" w:cs="方正楷体_GBK"/>
          <w:b/>
          <w:bCs/>
          <w:sz w:val="32"/>
          <w:szCs w:val="32"/>
        </w:rPr>
        <w:t>（二）机构设置</w:t>
      </w:r>
    </w:p>
    <w:p>
      <w:pPr>
        <w:pStyle w:val="6"/>
        <w:shd w:val="clear" w:color="auto" w:fill="FFFFFF"/>
        <w:spacing w:before="0" w:beforeAutospacing="0" w:after="0" w:afterAutospacing="0" w:line="600" w:lineRule="exact"/>
        <w:ind w:firstLine="640" w:firstLineChars="200"/>
        <w:rPr>
          <w:rFonts w:hint="default" w:eastAsia="方正仿宋_GBK"/>
          <w:sz w:val="32"/>
          <w:szCs w:val="32"/>
        </w:rPr>
      </w:pPr>
      <w:r>
        <w:rPr>
          <w:rFonts w:eastAsia="方正仿宋_GBK" w:cs="方正仿宋_GBK"/>
          <w:sz w:val="32"/>
          <w:szCs w:val="32"/>
        </w:rPr>
        <w:t>本单位内设德育处、教务处、教科处、后勤处</w:t>
      </w:r>
      <w:r>
        <w:rPr>
          <w:rFonts w:eastAsia="方正仿宋_GBK"/>
          <w:sz w:val="32"/>
          <w:szCs w:val="32"/>
        </w:rPr>
        <w:t>。</w:t>
      </w:r>
    </w:p>
    <w:p>
      <w:pPr>
        <w:spacing w:line="600" w:lineRule="exact"/>
        <w:ind w:firstLine="640" w:firstLineChars="200"/>
        <w:rPr>
          <w:rFonts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6"/>
        <w:shd w:val="clear" w:color="auto" w:fill="FFFFFF"/>
        <w:spacing w:before="0" w:beforeAutospacing="0" w:after="0" w:afterAutospacing="0" w:line="600" w:lineRule="exact"/>
        <w:ind w:firstLine="643" w:firstLineChars="200"/>
        <w:rPr>
          <w:rFonts w:ascii="方正楷体_GBK" w:hAnsi="楷体" w:eastAsia="方正楷体_GBK" w:cs="楷体"/>
          <w:b/>
          <w:bCs/>
          <w:sz w:val="32"/>
          <w:szCs w:val="32"/>
          <w:shd w:val="clear" w:color="auto" w:fill="FFFFFF"/>
        </w:rPr>
      </w:pPr>
      <w:r>
        <w:rPr>
          <w:rFonts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2024年度收入总计4843.25万元，支出总计</w:t>
      </w:r>
      <w:r>
        <w:rPr>
          <w:rFonts w:ascii="方正仿宋_GBK" w:hAnsi="方正仿宋_GBK" w:eastAsia="方正仿宋_GBK" w:cs="方正仿宋_GBK"/>
          <w:sz w:val="32"/>
          <w:szCs w:val="32"/>
        </w:rPr>
        <w:t>4843.25</w:t>
      </w:r>
      <w:r>
        <w:rPr>
          <w:rFonts w:ascii="方正仿宋_GBK" w:hAnsi="方正仿宋_GBK" w:eastAsia="方正仿宋_GBK" w:cs="方正仿宋_GBK"/>
          <w:sz w:val="32"/>
          <w:szCs w:val="32"/>
          <w:shd w:val="clear" w:color="auto" w:fill="FFFFFF"/>
        </w:rPr>
        <w:t>万元。收、支与2023年度相比，减少899.24万元，下降15.66%，主要原因是2023年清算补发以前年度超额绩效和健康休养费。</w:t>
      </w:r>
    </w:p>
    <w:p>
      <w:pPr>
        <w:pStyle w:val="6"/>
        <w:shd w:val="clear" w:color="auto" w:fill="FFFFFF"/>
        <w:spacing w:before="0" w:beforeAutospacing="0" w:after="0" w:afterAutospacing="0" w:line="600" w:lineRule="exact"/>
        <w:ind w:firstLine="643" w:firstLineChars="200"/>
        <w:rPr>
          <w:rFonts w:ascii="方正黑体_GBK" w:hAnsi="黑体" w:eastAsia="方正黑体_GBK" w:cs="黑体"/>
          <w:b/>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2024年度收入合计4536.78万元，与2023年度相比，减少848.23万元，下降15.75%，2023年清算补发以前年度超额绩效和健康休养费。其中：财政拨款收入</w:t>
      </w:r>
      <w:r>
        <w:rPr>
          <w:rFonts w:ascii="方正仿宋_GBK" w:hAnsi="方正仿宋_GBK" w:eastAsia="方正仿宋_GBK" w:cs="方正仿宋_GBK"/>
          <w:sz w:val="32"/>
          <w:szCs w:val="32"/>
        </w:rPr>
        <w:t>4045.86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89.18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490.92</w:t>
      </w:r>
      <w:r>
        <w:rPr>
          <w:rFonts w:ascii="方正仿宋_GBK" w:hAnsi="方正仿宋_GBK" w:eastAsia="方正仿宋_GBK" w:cs="方正仿宋_GBK"/>
          <w:sz w:val="32"/>
          <w:szCs w:val="32"/>
          <w:shd w:val="clear" w:color="auto" w:fill="FFFFFF"/>
        </w:rPr>
        <w:t>万元，占10.82%。此外，使用非财政拨款结余和专用结余</w:t>
      </w:r>
      <w:r>
        <w:rPr>
          <w:rFonts w:ascii="方正仿宋_GBK" w:hAnsi="方正仿宋_GBK" w:eastAsia="方正仿宋_GBK" w:cs="方正仿宋_GBK"/>
          <w:sz w:val="32"/>
          <w:szCs w:val="32"/>
        </w:rPr>
        <w:t>36.46</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270.00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4843.25</w:t>
      </w:r>
      <w:r>
        <w:rPr>
          <w:rFonts w:ascii="方正仿宋_GBK" w:hAnsi="方正仿宋_GBK" w:eastAsia="方正仿宋_GBK" w:cs="方正仿宋_GBK"/>
          <w:sz w:val="32"/>
          <w:szCs w:val="32"/>
          <w:shd w:val="clear" w:color="auto" w:fill="FFFFFF"/>
        </w:rPr>
        <w:t>万元，与2023年度相比，减少572.63万元，下降10.57%，主要原因是2023年清算补发以前年度超额绩效和健康休养费。其中：基本支出</w:t>
      </w:r>
      <w:r>
        <w:rPr>
          <w:rFonts w:ascii="方正仿宋_GBK" w:hAnsi="方正仿宋_GBK" w:eastAsia="方正仿宋_GBK" w:cs="方正仿宋_GBK"/>
          <w:sz w:val="32"/>
          <w:szCs w:val="32"/>
        </w:rPr>
        <w:t>4242.39</w:t>
      </w:r>
      <w:r>
        <w:rPr>
          <w:rFonts w:ascii="方正仿宋_GBK" w:hAnsi="方正仿宋_GBK" w:eastAsia="方正仿宋_GBK" w:cs="方正仿宋_GBK"/>
          <w:sz w:val="32"/>
          <w:szCs w:val="32"/>
          <w:shd w:val="clear" w:color="auto" w:fill="FFFFFF"/>
        </w:rPr>
        <w:t>万元，占87.59%；项目支出</w:t>
      </w:r>
      <w:r>
        <w:rPr>
          <w:rFonts w:ascii="方正仿宋_GBK" w:hAnsi="方正仿宋_GBK" w:eastAsia="方正仿宋_GBK" w:cs="方正仿宋_GBK"/>
          <w:sz w:val="32"/>
          <w:szCs w:val="32"/>
        </w:rPr>
        <w:t>600.86</w:t>
      </w:r>
      <w:r>
        <w:rPr>
          <w:rFonts w:ascii="方正仿宋_GBK" w:hAnsi="方正仿宋_GBK" w:eastAsia="方正仿宋_GBK" w:cs="方正仿宋_GBK"/>
          <w:sz w:val="32"/>
          <w:szCs w:val="32"/>
          <w:shd w:val="clear" w:color="auto" w:fill="FFFFFF"/>
        </w:rPr>
        <w:t>万元，占12.41%；经营支出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600" w:lineRule="exact"/>
        <w:ind w:firstLine="643" w:firstLineChars="200"/>
        <w:rPr>
          <w:rFonts w:hint="default" w:ascii="方正黑体_GBK" w:hAnsi="黑体" w:eastAsia="方正黑体_GBK" w:cs="黑体"/>
          <w:b/>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2024年度财政拨款收、支总计4315.86万元。与2023年相比，财政拨款收、支总计各减少639.00万元，下降12.90%。主要原因是2023年清算补发以前年度超额绩效和健康休养费。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4045.86</w:t>
      </w:r>
      <w:r>
        <w:rPr>
          <w:rFonts w:ascii="方正仿宋_GBK" w:hAnsi="方正仿宋_GBK" w:eastAsia="方正仿宋_GBK" w:cs="方正仿宋_GBK"/>
          <w:sz w:val="32"/>
          <w:szCs w:val="32"/>
          <w:shd w:val="clear" w:color="auto" w:fill="FFFFFF"/>
        </w:rPr>
        <w:t>万元，与2023年度相比，减少909.00万元，下降18.35%。主要原因是2023年清算补发以前年度超额绩效和健康休养费。较年初预算数增加583.01万元，增长16.84%。主要原因是教职工正常晋升、岗位职级变化、教师人数增加等导致人员经费增加。此外，年初财政拨款结转和结余</w:t>
      </w:r>
      <w:r>
        <w:rPr>
          <w:rFonts w:ascii="方正仿宋_GBK" w:hAnsi="方正仿宋_GBK" w:eastAsia="方正仿宋_GBK" w:cs="方正仿宋_GBK"/>
          <w:sz w:val="32"/>
          <w:szCs w:val="32"/>
        </w:rPr>
        <w:t>270.00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4315.86</w:t>
      </w:r>
      <w:r>
        <w:rPr>
          <w:rFonts w:ascii="方正仿宋_GBK" w:hAnsi="方正仿宋_GBK" w:eastAsia="方正仿宋_GBK" w:cs="方正仿宋_GBK"/>
          <w:sz w:val="32"/>
          <w:szCs w:val="32"/>
          <w:shd w:val="clear" w:color="auto" w:fill="FFFFFF"/>
        </w:rPr>
        <w:t>万元，与2023年度相比，减少639.00万元，下降12.90%。主要原因是2023年清算补发以前年度超额绩效和健康休养费。较年初预算数增加853.01万元，增长24.63%。主要原因是教职工正常晋升、岗位职级变化、教师人数增加等导致人员经费增加。</w:t>
      </w:r>
    </w:p>
    <w:p>
      <w:pPr>
        <w:spacing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3164.13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73.31</w:t>
      </w:r>
      <w:r>
        <w:rPr>
          <w:rFonts w:ascii="方正仿宋_GBK" w:hAnsi="方正仿宋_GBK" w:eastAsia="方正仿宋_GBK" w:cs="方正仿宋_GBK"/>
          <w:sz w:val="32"/>
          <w:szCs w:val="32"/>
          <w:shd w:val="clear" w:color="auto" w:fill="FFFFFF"/>
        </w:rPr>
        <w:t>%，较年初预算数增加629.02万元，增长24.81%，主要原因是本年预算执行中教职工正常晋升、岗位职级变化、教师人数增加等人员经费增加所致。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843.22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19.54</w:t>
      </w:r>
      <w:r>
        <w:rPr>
          <w:rFonts w:ascii="方正仿宋_GBK" w:hAnsi="方正仿宋_GBK" w:eastAsia="方正仿宋_GBK" w:cs="方正仿宋_GBK"/>
          <w:sz w:val="32"/>
          <w:szCs w:val="32"/>
          <w:shd w:val="clear" w:color="auto" w:fill="FFFFFF"/>
        </w:rPr>
        <w:t>%，较年初预算数增加219.35万元，增长35.16%，主要原因本年预算执行中将超额绩效纳入养老保险和职业年金基数增加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140.67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%，较年初预算数增加2.55万元，增长1.85%，主要原因是本年预算执行中教职工增导致缴费基数增加。</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住房保障支出167.85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%，较年初预算数增加2.10万元，增长1.27%，主要原因是本年预算执行中教职工增导致缴费基数增加。</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3715.12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3653.97</w:t>
      </w:r>
      <w:r>
        <w:rPr>
          <w:rFonts w:ascii="方正仿宋_GBK" w:hAnsi="方正仿宋_GBK" w:eastAsia="方正仿宋_GBK" w:cs="方正仿宋_GBK"/>
          <w:sz w:val="32"/>
          <w:szCs w:val="32"/>
          <w:shd w:val="clear" w:color="auto" w:fill="FFFFFF"/>
        </w:rPr>
        <w:t>万元，与2023年度相比，减少212.27万元，下降5.49%，主要原因是2023年清算补发以前年度超额绩效和健康休养费。人员经费用途主要包括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61.15</w:t>
      </w:r>
      <w:r>
        <w:rPr>
          <w:rFonts w:ascii="方正仿宋_GBK" w:hAnsi="方正仿宋_GBK" w:eastAsia="方正仿宋_GBK" w:cs="方正仿宋_GBK"/>
          <w:sz w:val="32"/>
          <w:szCs w:val="32"/>
          <w:shd w:val="clear" w:color="auto" w:fill="FFFFFF"/>
        </w:rPr>
        <w:t>万元，与2023年度相比，减少4.63万元，下降7.04%，主要原因是工会经费、培训费、福利费的预算基数减少所致。公用经费用途主要包括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36.58</w:t>
      </w:r>
      <w:r>
        <w:rPr>
          <w:rFonts w:ascii="方正仿宋_GBK" w:hAnsi="方正仿宋_GBK" w:eastAsia="方正仿宋_GBK" w:cs="方正仿宋_GBK"/>
          <w:sz w:val="32"/>
          <w:szCs w:val="32"/>
          <w:shd w:val="clear" w:color="auto" w:fill="FFFFFF"/>
        </w:rPr>
        <w:t>万元，与2023年度相比，增加21.08万元，增长136.00%，主要原因是学校加大了师资队伍的建设和培训。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hint="default" w:ascii="方正仿宋_GBK" w:hAnsi="方正仿宋_GBK" w:eastAsia="方正仿宋_GBK" w:cs="方正仿宋_GBK"/>
          <w:sz w:val="32"/>
          <w:szCs w:val="32"/>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26.22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26.22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26.22万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26.22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根据预算绩效管理要求，我单位对14个二级项目开展了绩效自评，涉及财政拨款项目支出资金600.74万元。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762625" cy="52387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762625" cy="5238750"/>
                    </a:xfrm>
                    <a:prstGeom prst="rect">
                      <a:avLst/>
                    </a:prstGeom>
                    <a:noFill/>
                    <a:ln>
                      <a:noFill/>
                    </a:ln>
                  </pic:spPr>
                </pic:pic>
              </a:graphicData>
            </a:graphic>
          </wp:inline>
        </w:drawing>
      </w:r>
      <w:r>
        <w:drawing>
          <wp:inline distT="0" distB="0" distL="114300" distR="114300">
            <wp:extent cx="5395595" cy="5509895"/>
            <wp:effectExtent l="0" t="0" r="5080"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395595" cy="5509895"/>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w:t>
      </w:r>
      <w:bookmarkStart w:id="0" w:name="_GoBack"/>
      <w:bookmarkEnd w:id="0"/>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Fonts w:hint="default"/>
          <w:sz w:val="32"/>
          <w:szCs w:val="32"/>
          <w:shd w:val="clear" w:color="auto" w:fill="FFFFFF"/>
        </w:rPr>
      </w:pPr>
      <w:r>
        <w:rPr>
          <w:rFonts w:ascii="方正仿宋_GBK" w:hAnsi="方正仿宋_GBK" w:eastAsia="方正仿宋_GBK" w:cs="方正仿宋_GBK"/>
          <w:sz w:val="32"/>
          <w:szCs w:val="32"/>
        </w:rPr>
        <w:t>李老师   023-74522398</w:t>
      </w:r>
    </w:p>
    <w:p>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垫江县桂溪小学校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4,045.86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3,691.51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490.92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843.22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140.67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167.85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4,536.78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4,843.25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36.46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270.00</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4,843.25</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4,843.25</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垫江县桂溪小学校</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40" w:hRule="exac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4,536.78</w:t>
            </w:r>
            <w:r>
              <w:rPr>
                <w:rFonts w:ascii="Times New Roman" w:hAnsi="Times New Roman"/>
                <w:b/>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4,045.86</w:t>
            </w:r>
            <w:r>
              <w:rPr>
                <w:rFonts w:ascii="Times New Roman" w:hAnsi="Times New Roman"/>
                <w:b/>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490.92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3,385.05</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2,894.13</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490.92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3,378.33</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2,887.41</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490.92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3,378.33</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2,887.41</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490.92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6.72</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6.72</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6.72</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6.72</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843.22</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843.22</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835.11</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835.11</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350.04</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350.04</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173.10</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173.10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311.97</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311.97</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8.11</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8.11</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8.11</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8.11</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140.67</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140.67</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167.85</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167.85</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垫江县桂溪小学校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4,843.25</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4,242.39</w:t>
            </w:r>
            <w:r>
              <w:rPr>
                <w:rFonts w:ascii="Times New Roman" w:hAnsi="Times New Roman"/>
                <w:b/>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600.86</w:t>
            </w:r>
            <w:r>
              <w:rPr>
                <w:rFonts w:ascii="Times New Roman" w:hAnsi="Times New Roman"/>
                <w:b/>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3,691.51</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3,091.71</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599.81</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3,684.79</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3,084.98</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599.81</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3,684.79</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3,084.98</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599.81</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6.72</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6.72</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6.72</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6.72</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843.22</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842.17</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1.05</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835.11</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834.06</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1.05</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350.04</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350.04</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173.10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173.10</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311.97</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310.92</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1.05</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8.11</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8.11</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8.11</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8.11</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140.67</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140.67</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167.85</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167.85</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垫江县桂溪小学校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4,045.86</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3,164.13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3,164.13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843.22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843.22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140.67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140.67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167.85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167.85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4,045.86</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4,315.86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4,315.86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270.00</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270.00</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4,315.86</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4,315.86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4,315.86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垫江县桂溪小学校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4,315.86</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3,715.12</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600.74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3,164.13</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2,564.44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599.69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3,157.41</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2,557.71</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599.69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3,157.41</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2,557.71</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599.69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6.72</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6.72</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6.72</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6.72</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843.22</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842.17</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835.11</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834.06</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350.04</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350.04</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173.10</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173.10</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311.97</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310.92</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8.11</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8.11</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8.11</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8.11</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140.67</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140.67</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140.67</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167.85</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167.85</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167.85</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垫江县桂溪小学校</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3,334.94</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61.15</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804.35</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27.92</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1,640.63</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350.04</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173.10</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140.67</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4.14</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167.85</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26.24</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319.03</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6.72</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8.11</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290.52</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20.40</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16.57</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37.85</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3,653.97</w:t>
            </w:r>
            <w:r>
              <w:rPr>
                <w:rFonts w:ascii="Times New Roman" w:hAnsi="Times New Roman"/>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61.15</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垫江县桂溪小学校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垫江县桂溪小学校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垫江县桂溪小学校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26.22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26.22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26.22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26.22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36.58</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4.52</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D405F"/>
    <w:rsid w:val="002E5443"/>
    <w:rsid w:val="0032196C"/>
    <w:rsid w:val="003F6DB8"/>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B2625"/>
    <w:rsid w:val="00AC5566"/>
    <w:rsid w:val="00AF714B"/>
    <w:rsid w:val="00B03CCD"/>
    <w:rsid w:val="00B40138"/>
    <w:rsid w:val="00BF5A85"/>
    <w:rsid w:val="00C307F6"/>
    <w:rsid w:val="00C55B7A"/>
    <w:rsid w:val="00C96B11"/>
    <w:rsid w:val="00CC6B99"/>
    <w:rsid w:val="00DD5711"/>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1F76CB"/>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5400E"/>
    <w:rsid w:val="1F2C5189"/>
    <w:rsid w:val="1F4B0B02"/>
    <w:rsid w:val="1FBB35CD"/>
    <w:rsid w:val="1FCD26AF"/>
    <w:rsid w:val="20642787"/>
    <w:rsid w:val="21556F04"/>
    <w:rsid w:val="22403BD3"/>
    <w:rsid w:val="23DA37D9"/>
    <w:rsid w:val="24B92327"/>
    <w:rsid w:val="24C14514"/>
    <w:rsid w:val="2533755C"/>
    <w:rsid w:val="25791755"/>
    <w:rsid w:val="25EF4EF2"/>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3D6D4E"/>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C05784"/>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867530"/>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4E11CB9"/>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8444</Words>
  <Characters>11182</Characters>
  <Lines>100</Lines>
  <Paragraphs>28</Paragraphs>
  <TotalTime>1</TotalTime>
  <ScaleCrop>false</ScaleCrop>
  <LinksUpToDate>false</LinksUpToDate>
  <CharactersWithSpaces>12239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2025-09-22T07:46:49Z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1810ADCE1EF04C728A2008512BE4E68B_13</vt:lpwstr>
  </property>
  <property fmtid="{D5CDD505-2E9C-101B-9397-08002B2CF9AE}" pid="4" name="KSOTemplateDocerSaveRecord">
    <vt:lpwstr>eyJoZGlkIjoiNjM0Zjk5YTc4NjQ1NmYyOGViZjRkNWIzZWJhYTE3YWEiLCJ1c2VySWQiOiIzODk0NTM2OTAifQ==</vt:lpwstr>
  </property>
</Properties>
</file>