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垫江县教委朝阳幼儿园</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rPr>
      </w:pP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0" w:firstLineChars="200"/>
        <w:rPr>
          <w:rFonts w:hint="default" w:eastAsia="方正楷体_GBK"/>
          <w:b/>
          <w:bCs/>
          <w:sz w:val="32"/>
          <w:szCs w:val="32"/>
        </w:rPr>
      </w:pPr>
      <w:r>
        <w:rPr>
          <w:rFonts w:eastAsia="方正楷体_GBK"/>
          <w:b/>
          <w:bCs/>
          <w:sz w:val="32"/>
          <w:szCs w:val="32"/>
        </w:rPr>
        <w:t>（一）职能职责</w:t>
      </w:r>
    </w:p>
    <w:p>
      <w:pPr>
        <w:pStyle w:val="16"/>
        <w:tabs>
          <w:tab w:val="center" w:pos="4153"/>
          <w:tab w:val="left" w:pos="7275"/>
        </w:tabs>
        <w:spacing w:line="600" w:lineRule="exact"/>
        <w:ind w:firstLine="640"/>
        <w:rPr>
          <w:rFonts w:eastAsia="方正仿宋_GBK"/>
          <w:sz w:val="32"/>
          <w:szCs w:val="32"/>
        </w:rPr>
      </w:pPr>
      <w:r>
        <w:rPr>
          <w:rFonts w:eastAsia="方正仿宋_GBK"/>
          <w:sz w:val="32"/>
          <w:szCs w:val="32"/>
        </w:rPr>
        <w:t>负责为学龄前儿童提供保育和教育工作；全面推动素质教育；负责学校卫生、安全、稳定；学校经费和校产管理；师资队伍建设。</w:t>
      </w:r>
    </w:p>
    <w:p>
      <w:pPr>
        <w:pStyle w:val="16"/>
        <w:tabs>
          <w:tab w:val="center" w:pos="4153"/>
          <w:tab w:val="left" w:pos="7275"/>
        </w:tabs>
        <w:spacing w:line="600" w:lineRule="exact"/>
        <w:ind w:firstLine="643"/>
        <w:rPr>
          <w:rFonts w:eastAsia="方正楷体_GBK"/>
          <w:b/>
          <w:bCs/>
          <w:sz w:val="32"/>
          <w:szCs w:val="32"/>
        </w:rPr>
      </w:pPr>
      <w:r>
        <w:rPr>
          <w:rFonts w:eastAsia="方正楷体_GBK"/>
          <w:b/>
          <w:bCs/>
          <w:sz w:val="32"/>
          <w:szCs w:val="32"/>
        </w:rPr>
        <w:t>（二）</w:t>
      </w:r>
      <w:r>
        <w:rPr>
          <w:rFonts w:hint="eastAsia" w:eastAsia="方正楷体_GBK"/>
          <w:b/>
          <w:bCs/>
          <w:sz w:val="32"/>
          <w:szCs w:val="32"/>
        </w:rPr>
        <w:t>机构设置</w:t>
      </w:r>
    </w:p>
    <w:p>
      <w:pPr>
        <w:pStyle w:val="16"/>
        <w:tabs>
          <w:tab w:val="center" w:pos="4153"/>
          <w:tab w:val="left" w:pos="7275"/>
        </w:tabs>
        <w:spacing w:line="600" w:lineRule="exact"/>
        <w:ind w:firstLine="640"/>
        <w:rPr>
          <w:rFonts w:eastAsia="方正仿宋_GBK"/>
          <w:sz w:val="32"/>
        </w:rPr>
      </w:pPr>
      <w:r>
        <w:rPr>
          <w:rFonts w:eastAsia="方正仿宋_GBK"/>
          <w:sz w:val="32"/>
        </w:rPr>
        <w:t>本单位内设机构包含：教务处、后勤处；单位领导职数</w:t>
      </w:r>
      <w:r>
        <w:rPr>
          <w:rFonts w:hint="eastAsia" w:eastAsia="方正仿宋_GBK"/>
          <w:sz w:val="32"/>
        </w:rPr>
        <w:t>3</w:t>
      </w:r>
      <w:r>
        <w:rPr>
          <w:rFonts w:eastAsia="方正仿宋_GBK"/>
          <w:sz w:val="32"/>
        </w:rPr>
        <w:t>名，其中：园长1名、副园长</w:t>
      </w:r>
      <w:r>
        <w:rPr>
          <w:rFonts w:hint="eastAsia" w:eastAsia="方正仿宋_GBK"/>
          <w:sz w:val="32"/>
        </w:rPr>
        <w:t>2</w:t>
      </w:r>
      <w:r>
        <w:rPr>
          <w:rFonts w:eastAsia="方正仿宋_GBK"/>
          <w:sz w:val="32"/>
        </w:rPr>
        <w:t>名；内设机构领导职数2名。</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2024年度收入总计830.17万元，支出总计</w:t>
      </w:r>
      <w:r>
        <w:rPr>
          <w:rFonts w:ascii="方正仿宋_GBK" w:hAnsi="方正仿宋_GBK" w:eastAsia="方正仿宋_GBK" w:cs="方正仿宋_GBK"/>
          <w:sz w:val="32"/>
          <w:szCs w:val="32"/>
        </w:rPr>
        <w:t>830.17</w:t>
      </w:r>
      <w:r>
        <w:rPr>
          <w:rFonts w:ascii="方正仿宋_GBK" w:hAnsi="方正仿宋_GBK" w:eastAsia="方正仿宋_GBK" w:cs="方正仿宋_GBK"/>
          <w:sz w:val="32"/>
          <w:szCs w:val="32"/>
          <w:shd w:val="clear" w:color="auto" w:fill="FFFFFF"/>
        </w:rPr>
        <w:t>万元。收、支与2023年度相比，增加69.93万元，增长9.20%，主要原因是幼儿人数增加导致保育费增加。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2024年度收入合计823.39万元，与2023年度相比，增加70.34万元，增长9.34%，主要原因是幼儿人数增加导致保育费增加。其中：财政拨款收入</w:t>
      </w:r>
      <w:r>
        <w:rPr>
          <w:rFonts w:ascii="方正仿宋_GBK" w:hAnsi="方正仿宋_GBK" w:eastAsia="方正仿宋_GBK" w:cs="方正仿宋_GBK"/>
          <w:sz w:val="32"/>
          <w:szCs w:val="32"/>
        </w:rPr>
        <w:t>564.45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68.55</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223.31</w:t>
      </w:r>
      <w:r>
        <w:rPr>
          <w:rFonts w:ascii="方正仿宋_GBK" w:hAnsi="方正仿宋_GBK" w:eastAsia="方正仿宋_GBK" w:cs="方正仿宋_GBK"/>
          <w:sz w:val="32"/>
          <w:szCs w:val="32"/>
          <w:shd w:val="clear" w:color="auto" w:fill="FFFFFF"/>
        </w:rPr>
        <w:t>万元，占27.12%；经营收入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35.63</w:t>
      </w:r>
      <w:r>
        <w:rPr>
          <w:rFonts w:ascii="方正仿宋_GBK" w:hAnsi="方正仿宋_GBK" w:eastAsia="方正仿宋_GBK" w:cs="方正仿宋_GBK"/>
          <w:sz w:val="32"/>
          <w:szCs w:val="32"/>
          <w:shd w:val="clear" w:color="auto" w:fill="FFFFFF"/>
        </w:rPr>
        <w:t>万元，占4.33%。此外，使用非财政拨款结余和专用结余</w:t>
      </w:r>
      <w:r>
        <w:rPr>
          <w:rFonts w:ascii="方正仿宋_GBK" w:hAnsi="方正仿宋_GBK" w:eastAsia="方正仿宋_GBK" w:cs="方正仿宋_GBK"/>
          <w:sz w:val="32"/>
          <w:szCs w:val="32"/>
        </w:rPr>
        <w:t>3.62</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3.16</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825.05</w:t>
      </w:r>
      <w:r>
        <w:rPr>
          <w:rFonts w:ascii="方正仿宋_GBK" w:hAnsi="方正仿宋_GBK" w:eastAsia="方正仿宋_GBK" w:cs="方正仿宋_GBK"/>
          <w:sz w:val="32"/>
          <w:szCs w:val="32"/>
          <w:shd w:val="clear" w:color="auto" w:fill="FFFFFF"/>
        </w:rPr>
        <w:t>万元，与2023年度相比，增加82.02万元，增长11.04%，主要原因是幼儿人数增加导致保育费增加。其中：基本支出</w:t>
      </w:r>
      <w:r>
        <w:rPr>
          <w:rFonts w:ascii="方正仿宋_GBK" w:hAnsi="方正仿宋_GBK" w:eastAsia="方正仿宋_GBK" w:cs="方正仿宋_GBK"/>
          <w:sz w:val="32"/>
          <w:szCs w:val="32"/>
        </w:rPr>
        <w:t>591.33</w:t>
      </w:r>
      <w:r>
        <w:rPr>
          <w:rFonts w:ascii="方正仿宋_GBK" w:hAnsi="方正仿宋_GBK" w:eastAsia="方正仿宋_GBK" w:cs="方正仿宋_GBK"/>
          <w:sz w:val="32"/>
          <w:szCs w:val="32"/>
          <w:shd w:val="clear" w:color="auto" w:fill="FFFFFF"/>
        </w:rPr>
        <w:t>万元，占71.67%；项目支出</w:t>
      </w:r>
      <w:r>
        <w:rPr>
          <w:rFonts w:ascii="方正仿宋_GBK" w:hAnsi="方正仿宋_GBK" w:eastAsia="方正仿宋_GBK" w:cs="方正仿宋_GBK"/>
          <w:sz w:val="32"/>
          <w:szCs w:val="32"/>
        </w:rPr>
        <w:t>233.72</w:t>
      </w:r>
      <w:r>
        <w:rPr>
          <w:rFonts w:ascii="方正仿宋_GBK" w:hAnsi="方正仿宋_GBK" w:eastAsia="方正仿宋_GBK" w:cs="方正仿宋_GBK"/>
          <w:sz w:val="32"/>
          <w:szCs w:val="32"/>
          <w:shd w:val="clear" w:color="auto" w:fill="FFFFFF"/>
        </w:rPr>
        <w:t>万元，占28.33%；经营支出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5.12</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2024年度财政拨款收、支总计564.45万元。与2023年相比，财政拨款收、支总计各减少26.78万元，下降4.53%。主要原因是2023年清算补发以前年度超额绩效。</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564.45</w:t>
      </w:r>
      <w:r>
        <w:rPr>
          <w:rFonts w:ascii="方正仿宋_GBK" w:hAnsi="方正仿宋_GBK" w:eastAsia="方正仿宋_GBK" w:cs="方正仿宋_GBK"/>
          <w:sz w:val="32"/>
          <w:szCs w:val="32"/>
          <w:shd w:val="clear" w:color="auto" w:fill="FFFFFF"/>
        </w:rPr>
        <w:t>万元，与2023年度相比，减少26.78万元，下降4.53%。主要原因是2023年清算补发以前年度超额绩效。较年初预算数增加22.62万元，增长4.17%。主要原因是教职工正常晋升、岗位职级变化等人员经费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564.45</w:t>
      </w:r>
      <w:r>
        <w:rPr>
          <w:rFonts w:ascii="方正仿宋_GBK" w:hAnsi="方正仿宋_GBK" w:eastAsia="方正仿宋_GBK" w:cs="方正仿宋_GBK"/>
          <w:sz w:val="32"/>
          <w:szCs w:val="32"/>
          <w:shd w:val="clear" w:color="auto" w:fill="FFFFFF"/>
        </w:rPr>
        <w:t>万元，与2023年度相比，减少26.78万元，下降4.53%。主要原因是2023年清算补发以前年度超额绩效。较年初预算数增加22.62万元，增长4.17%。主要原因是教职工正常晋升、岗位职级变化等人员经费增加。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482.64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85.51</w:t>
      </w:r>
      <w:r>
        <w:rPr>
          <w:rFonts w:ascii="方正仿宋_GBK" w:hAnsi="方正仿宋_GBK" w:eastAsia="方正仿宋_GBK" w:cs="方正仿宋_GBK"/>
          <w:sz w:val="32"/>
          <w:szCs w:val="32"/>
          <w:shd w:val="clear" w:color="auto" w:fill="FFFFFF"/>
        </w:rPr>
        <w:t>%，较年初预算数增加3.24万元，增长0.68%，主要原因是本年预算执行中因教职工正常晋升、岗位职级变化等人员经费增加所致。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50.83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9.01</w:t>
      </w:r>
      <w:r>
        <w:rPr>
          <w:rFonts w:ascii="方正仿宋_GBK" w:hAnsi="方正仿宋_GBK" w:eastAsia="方正仿宋_GBK" w:cs="方正仿宋_GBK"/>
          <w:sz w:val="32"/>
          <w:szCs w:val="32"/>
          <w:shd w:val="clear" w:color="auto" w:fill="FFFFFF"/>
        </w:rPr>
        <w:t>%，较年初预算数增加18.26万元，增长56.06%，主要原因是本年预算执行中将超额绩效纳入养老保险和职业年金基数增加</w:t>
      </w:r>
      <w:bookmarkStart w:id="0" w:name="_GoBack"/>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bookmarkEnd w:id="0"/>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14.33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2.54</w:t>
      </w:r>
      <w:r>
        <w:rPr>
          <w:rFonts w:ascii="方正仿宋_GBK" w:hAnsi="方正仿宋_GBK" w:eastAsia="方正仿宋_GBK" w:cs="方正仿宋_GBK"/>
          <w:sz w:val="32"/>
          <w:szCs w:val="32"/>
          <w:shd w:val="clear" w:color="auto" w:fill="FFFFFF"/>
        </w:rPr>
        <w:t>%，较年初预算数增加0.76万元，增长5.60%，主要原因是本年预算执行中在编幼儿教师人数增加。</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（19）</w:t>
      </w:r>
      <w:r>
        <w:rPr>
          <w:rFonts w:ascii="方正仿宋_GBK" w:hAnsi="方正仿宋_GBK" w:eastAsia="方正仿宋_GBK" w:cs="方正仿宋_GBK"/>
          <w:sz w:val="32"/>
          <w:szCs w:val="32"/>
        </w:rPr>
        <w:t>住房保障支出16.64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2.95</w:t>
      </w:r>
      <w:r>
        <w:rPr>
          <w:rFonts w:ascii="方正仿宋_GBK" w:hAnsi="方正仿宋_GBK" w:eastAsia="方正仿宋_GBK" w:cs="方正仿宋_GBK"/>
          <w:sz w:val="32"/>
          <w:szCs w:val="32"/>
          <w:shd w:val="clear" w:color="auto" w:fill="FFFFFF"/>
        </w:rPr>
        <w:t>%，较年初预算数增加0.36万元，增长2.21%，主要原因是本年预算执行中在编幼儿教师人数增加。</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334.58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330.30</w:t>
      </w:r>
      <w:r>
        <w:rPr>
          <w:rFonts w:ascii="方正仿宋_GBK" w:hAnsi="方正仿宋_GBK" w:eastAsia="方正仿宋_GBK" w:cs="方正仿宋_GBK"/>
          <w:sz w:val="32"/>
          <w:szCs w:val="32"/>
          <w:shd w:val="clear" w:color="auto" w:fill="FFFFFF"/>
        </w:rPr>
        <w:t>万元，与2023年度相比，增加64.55万元，增长24.29%，主要原因是教师人数增加、教职工正常晋升、岗位职级变化等。人员经费用途主要包括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4.28</w:t>
      </w:r>
      <w:r>
        <w:rPr>
          <w:rFonts w:ascii="方正仿宋_GBK" w:hAnsi="方正仿宋_GBK" w:eastAsia="方正仿宋_GBK" w:cs="方正仿宋_GBK"/>
          <w:sz w:val="32"/>
          <w:szCs w:val="32"/>
          <w:shd w:val="clear" w:color="auto" w:fill="FFFFFF"/>
        </w:rPr>
        <w:t>万元，与2023年度相比，增加1.03万元，增长31.69%，主要原因是工会经费、培训费、福利费的预算基数减少所致。公用经费用途主要包括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6"/>
        <w:snapToGrid w:val="0"/>
        <w:spacing w:before="0" w:beforeAutospacing="0" w:after="0" w:afterAutospacing="0" w:line="600" w:lineRule="exact"/>
        <w:ind w:firstLine="640"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1.37</w:t>
      </w:r>
      <w:r>
        <w:rPr>
          <w:rFonts w:ascii="方正仿宋_GBK" w:hAnsi="方正仿宋_GBK" w:eastAsia="方正仿宋_GBK" w:cs="方正仿宋_GBK"/>
          <w:sz w:val="32"/>
          <w:szCs w:val="32"/>
          <w:shd w:val="clear" w:color="auto" w:fill="FFFFFF"/>
        </w:rPr>
        <w:t>万元，与2023年度相比，减少0.85万元，下降38.29%，主要原因是</w:t>
      </w:r>
      <w:r>
        <w:rPr>
          <w:rFonts w:hint="eastAsia" w:ascii="方正仿宋_GBK" w:hAnsi="方正仿宋_GBK" w:eastAsia="方正仿宋_GBK" w:cs="方正仿宋_GBK"/>
          <w:sz w:val="32"/>
          <w:szCs w:val="32"/>
          <w:shd w:val="clear" w:color="auto" w:fill="FFFFFF"/>
        </w:rPr>
        <w:t>学校</w:t>
      </w:r>
      <w:r>
        <w:rPr>
          <w:rFonts w:ascii="方正仿宋_GBK" w:hAnsi="方正仿宋_GBK" w:eastAsia="方正仿宋_GBK" w:cs="方正仿宋_GBK"/>
          <w:sz w:val="32"/>
          <w:szCs w:val="32"/>
          <w:shd w:val="clear" w:color="auto" w:fill="FFFFFF"/>
        </w:rPr>
        <w:t>压缩公用经费支出，减少了师资队伍的培训</w:t>
      </w:r>
      <w:r>
        <w:rPr>
          <w:rFonts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0.41</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0.41</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0.41万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0.41</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%。主要用于采购教学用设备和学生课桌椅。</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根据预算绩效管理要求，我单位对5个二级项目开展了绩效自评，涉及财政拨款项目支出资金229.86万元。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361940" cy="4938395"/>
            <wp:effectExtent l="0" t="0" r="635"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361940" cy="4938395"/>
                    </a:xfrm>
                    <a:prstGeom prst="rect">
                      <a:avLst/>
                    </a:prstGeom>
                    <a:noFill/>
                    <a:ln>
                      <a:noFill/>
                    </a:ln>
                  </pic:spPr>
                </pic:pic>
              </a:graphicData>
            </a:graphic>
          </wp:inline>
        </w:drawing>
      </w:r>
      <w:r>
        <w:drawing>
          <wp:inline distT="0" distB="0" distL="114300" distR="114300">
            <wp:extent cx="5403850" cy="4879340"/>
            <wp:effectExtent l="0" t="0" r="6350"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403850" cy="4879340"/>
                    </a:xfrm>
                    <a:prstGeom prst="rect">
                      <a:avLst/>
                    </a:prstGeom>
                    <a:noFill/>
                    <a:ln>
                      <a:noFill/>
                    </a:ln>
                  </pic:spPr>
                </pic:pic>
              </a:graphicData>
            </a:graphic>
          </wp:inline>
        </w:drawing>
      </w:r>
      <w:r>
        <w:t xml:space="preserve"> </w:t>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rPr>
        <w:t>冉老师   023- 81868169</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r>
              <w:rPr>
                <w:rFonts w:cs="宋体"/>
                <w:sz w:val="20"/>
                <w:szCs w:val="20"/>
              </w:rPr>
              <w:t>单位：</w:t>
            </w:r>
            <w:r>
              <w:rPr>
                <w:sz w:val="20"/>
              </w:rPr>
              <w:t>垫江县教委朝阳幼儿园</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564.45</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223.31</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743.25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35.63</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50.83</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14.33</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16.64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823.39</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825.05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3.62</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5.12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3.16</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830.17</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830.17</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垫江县教委朝阳幼儿园</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823.39</w:t>
            </w:r>
            <w:r>
              <w:rPr>
                <w:rFonts w:ascii="Times New Roman" w:hAnsi="Times New Roman"/>
                <w:b/>
                <w:sz w:val="20"/>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564.45</w:t>
            </w:r>
            <w:r>
              <w:rPr>
                <w:rFonts w:ascii="Times New Roman" w:hAnsi="Times New Roman"/>
                <w:b/>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223.31</w:t>
            </w:r>
            <w:r>
              <w:rPr>
                <w:rFonts w:ascii="Times New Roman" w:hAnsi="Times New Roman"/>
                <w:b/>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223.31</w:t>
            </w:r>
            <w:r>
              <w:rPr>
                <w:rFonts w:ascii="Times New Roman" w:hAnsi="Times New Roman"/>
                <w:b/>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35.63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741.59</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482.64</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223.31</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223.31</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740.99</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482.05</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223.31</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223.31</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740.99</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482.05</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223.31</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223.31</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35.63</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0.59</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0.59</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0.59</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0.59</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50.83</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50.83</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50.83</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50.83</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33.81</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33.81</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17.02</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17.02</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14.33</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14.33</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14.33</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14.33</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14.33</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14.33</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16.64</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16.64</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16.64</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16.64</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16.64</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16.64</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垫江县教委朝阳幼儿园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825.05</w:t>
            </w:r>
            <w:r>
              <w:rPr>
                <w:rFonts w:ascii="Times New Roman" w:hAnsi="Times New Roman"/>
                <w:b/>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591.33</w:t>
            </w:r>
            <w:r>
              <w:rPr>
                <w:rFonts w:ascii="Times New Roman" w:hAnsi="Times New Roman"/>
                <w:b/>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233.72</w:t>
            </w:r>
            <w:r>
              <w:rPr>
                <w:rFonts w:ascii="Times New Roman" w:hAnsi="Times New Roman"/>
                <w:b/>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743.25</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509.53</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233.72</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742.65</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508.93</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233.72</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742.65</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508.93</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233.72</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0.59</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0.59</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0.59</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0.59</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50.83</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50.83</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50.83</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50.83</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33.81</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33.81</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17.02</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17.02</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14.33</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14.33</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14.33</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14.33</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14.33</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14.33</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16.64</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16.64</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16.64</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16.64</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16.64</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16.64</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垫江县教委朝阳幼儿园</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564.45</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482.64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482.64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50.83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50.83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14.33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14.33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16.64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16.64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564.45</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564.45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564.45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564.45</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564.45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564.45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垫江县教委朝阳幼儿园</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564.45</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334.58</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229.86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482.64</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252.78</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229.86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482.05</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252.19</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229.86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482.05</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252.19</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229.86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0.59</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0.59</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0.59</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0.59</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50.83</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50.83</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50.83</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50.83</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33.81</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33.81</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17.02</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17.02</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14.33</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14.33</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14.33</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14.33</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14.33</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14.33</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16.64</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16.64</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16.64</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16.64</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16.64</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16.64</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垫江县教委朝阳幼儿园</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330.30</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4.28</w:t>
            </w: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77.89</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3.47</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163.38</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33.81</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17.02</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14.33</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0.41</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16.64</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3.36</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0.59</w:t>
            </w: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1.63</w:t>
            </w: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sz w:val="18"/>
                <w:szCs w:val="18"/>
              </w:rPr>
            </w:pPr>
            <w:r>
              <w:rPr>
                <w:rFonts w:cs="宋体"/>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2.06</w:t>
            </w: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330.30</w:t>
            </w:r>
            <w:r>
              <w:rPr>
                <w:rFonts w:ascii="Times New Roman" w:hAnsi="Times New Roman"/>
                <w:sz w:val="18"/>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4.28</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垫江县教委朝阳幼儿园</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垫江县教委朝阳幼儿园</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垫江县教委朝阳幼儿园</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0.41</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0.41</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0.41</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0.41</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1.37</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1.32</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00000" w:csb1="00000000"/>
  </w:font>
  <w:font w:name="方正黑体_GBK">
    <w:altName w:val="Arial Unicode MS"/>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00000" w:csb1="00000000"/>
  </w:font>
  <w:font w:name="方正仿宋_GBK">
    <w:altName w:val="Arial Unicode MS"/>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8D163F"/>
    <w:rsid w:val="009438CB"/>
    <w:rsid w:val="00944711"/>
    <w:rsid w:val="009821E3"/>
    <w:rsid w:val="00984852"/>
    <w:rsid w:val="009B67B8"/>
    <w:rsid w:val="00A03B1E"/>
    <w:rsid w:val="00A67739"/>
    <w:rsid w:val="00A820B7"/>
    <w:rsid w:val="00AC5566"/>
    <w:rsid w:val="00B03CCD"/>
    <w:rsid w:val="00B40138"/>
    <w:rsid w:val="00BF5A85"/>
    <w:rsid w:val="00C267AC"/>
    <w:rsid w:val="00C307F6"/>
    <w:rsid w:val="00C96B11"/>
    <w:rsid w:val="00CC6B99"/>
    <w:rsid w:val="00D46CBF"/>
    <w:rsid w:val="00DE2912"/>
    <w:rsid w:val="00DF7706"/>
    <w:rsid w:val="00E05175"/>
    <w:rsid w:val="00E654E2"/>
    <w:rsid w:val="00E76362"/>
    <w:rsid w:val="00EA3262"/>
    <w:rsid w:val="00F02E1C"/>
    <w:rsid w:val="00F137D3"/>
    <w:rsid w:val="00F13C36"/>
    <w:rsid w:val="00F23C68"/>
    <w:rsid w:val="00F32C53"/>
    <w:rsid w:val="00F73F90"/>
    <w:rsid w:val="00F7623D"/>
    <w:rsid w:val="00F8598B"/>
    <w:rsid w:val="00FA0819"/>
    <w:rsid w:val="01474EBF"/>
    <w:rsid w:val="01BE5709"/>
    <w:rsid w:val="01F3521E"/>
    <w:rsid w:val="03B87EA0"/>
    <w:rsid w:val="03E3214F"/>
    <w:rsid w:val="044C50BA"/>
    <w:rsid w:val="05BC6D49"/>
    <w:rsid w:val="05F11A75"/>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CCE6961"/>
    <w:rsid w:val="1D014A01"/>
    <w:rsid w:val="1D022362"/>
    <w:rsid w:val="1D1B04B0"/>
    <w:rsid w:val="1DBD6767"/>
    <w:rsid w:val="1DC52125"/>
    <w:rsid w:val="1DD26311"/>
    <w:rsid w:val="1E374ACB"/>
    <w:rsid w:val="1E3F47EB"/>
    <w:rsid w:val="1E5E27E3"/>
    <w:rsid w:val="1ECF0A66"/>
    <w:rsid w:val="1EF67CA4"/>
    <w:rsid w:val="1F020D3A"/>
    <w:rsid w:val="1F2C5189"/>
    <w:rsid w:val="1F4B0B02"/>
    <w:rsid w:val="1FBB35CD"/>
    <w:rsid w:val="1FCD26AF"/>
    <w:rsid w:val="20642787"/>
    <w:rsid w:val="20F4646B"/>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19366E6"/>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181B67"/>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msolistparagraph"/>
    <w:basedOn w:val="1"/>
    <w:qFormat/>
    <w:uiPriority w:val="0"/>
    <w:pPr>
      <w:widowControl w:val="0"/>
      <w:ind w:firstLine="420" w:firstLineChars="200"/>
      <w:jc w:val="both"/>
    </w:pPr>
    <w:rPr>
      <w:rFonts w:hint="default" w:ascii="Times New Roman" w:hAnsi="Times New Roman"/>
      <w:kern w:val="2"/>
      <w:sz w:val="21"/>
      <w:szCs w:val="21"/>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8204</Words>
  <Characters>10489</Characters>
  <Lines>94</Lines>
  <Paragraphs>26</Paragraphs>
  <TotalTime>0</TotalTime>
  <ScaleCrop>false</ScaleCrop>
  <LinksUpToDate>false</LinksUpToDate>
  <CharactersWithSpaces>11496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2025-09-23T02:25:24Z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A1968B1EA1DC4F98B1F201E2F6F16E56_13</vt:lpwstr>
  </property>
  <property fmtid="{D5CDD505-2E9C-101B-9397-08002B2CF9AE}" pid="4" name="KSOTemplateDocerSaveRecord">
    <vt:lpwstr>eyJoZGlkIjoiNjM0Zjk5YTc4NjQ1NmYyOGViZjRkNWIzZWJhYTE3YWEiLCJ1c2VySWQiOiIzODk0NTM2OTAifQ==</vt:lpwstr>
  </property>
</Properties>
</file>