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垫江县金华小学校</w:t>
      </w:r>
    </w:p>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2024年度决算公开说明</w:t>
      </w:r>
    </w:p>
    <w:p>
      <w:pPr>
        <w:spacing w:line="600" w:lineRule="exact"/>
        <w:ind w:firstLine="880" w:firstLineChars="200"/>
        <w:jc w:val="center"/>
        <w:rPr>
          <w:rFonts w:hint="default" w:ascii="华文中宋" w:hAnsi="华文中宋" w:eastAsia="华文中宋" w:cs="华文中宋"/>
          <w:sz w:val="44"/>
          <w:szCs w:val="44"/>
        </w:rPr>
      </w:pP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一、单位基本情况</w:t>
      </w:r>
    </w:p>
    <w:p>
      <w:pPr>
        <w:spacing w:line="600" w:lineRule="exact"/>
        <w:ind w:firstLine="643" w:firstLineChars="200"/>
        <w:rPr>
          <w:rFonts w:hint="default" w:eastAsia="方正楷体_GBK"/>
          <w:b/>
          <w:bCs/>
          <w:sz w:val="32"/>
          <w:szCs w:val="32"/>
        </w:rPr>
      </w:pPr>
      <w:r>
        <w:rPr>
          <w:rFonts w:eastAsia="方正楷体_GBK"/>
          <w:b/>
          <w:bCs/>
          <w:sz w:val="32"/>
          <w:szCs w:val="32"/>
        </w:rPr>
        <w:t>（一）职能职责</w:t>
      </w:r>
    </w:p>
    <w:p>
      <w:pPr>
        <w:spacing w:line="600" w:lineRule="exact"/>
        <w:ind w:firstLine="640" w:firstLineChars="200"/>
        <w:rPr>
          <w:rFonts w:hint="default" w:eastAsia="方正仿宋_GBK"/>
          <w:sz w:val="32"/>
        </w:rPr>
      </w:pPr>
      <w:r>
        <w:rPr>
          <w:rFonts w:eastAsia="方正仿宋_GBK"/>
          <w:sz w:val="32"/>
        </w:rPr>
        <w:t>实施小学义务教育。适龄儿童义务教育；全面推进素质教育；学校卫生、安全、稳定；学校经费与校产管理；师资队伍建设；学前儿童教育与保育，制定本区域教育发展规划。</w:t>
      </w:r>
    </w:p>
    <w:p>
      <w:pPr>
        <w:spacing w:line="600" w:lineRule="exact"/>
        <w:ind w:firstLine="643" w:firstLineChars="200"/>
        <w:rPr>
          <w:rFonts w:hint="default" w:eastAsia="方正楷体_GBK"/>
          <w:b/>
          <w:sz w:val="32"/>
          <w:szCs w:val="21"/>
        </w:rPr>
      </w:pPr>
      <w:r>
        <w:rPr>
          <w:rFonts w:eastAsia="方正楷体_GBK"/>
          <w:b/>
          <w:sz w:val="32"/>
          <w:szCs w:val="21"/>
        </w:rPr>
        <w:t>（二）机构设置</w:t>
      </w:r>
    </w:p>
    <w:p>
      <w:pPr>
        <w:spacing w:line="600" w:lineRule="exact"/>
        <w:ind w:firstLine="640" w:firstLineChars="200"/>
        <w:rPr>
          <w:rFonts w:hint="default" w:eastAsia="方正仿宋_GBK"/>
          <w:sz w:val="32"/>
        </w:rPr>
      </w:pPr>
      <w:r>
        <w:rPr>
          <w:rFonts w:eastAsia="方正仿宋_GBK"/>
          <w:sz w:val="32"/>
        </w:rPr>
        <w:t>学校单位领导职数2名，其中：校长1名、副校长1名；内设机构领导职数4名。内设机构有德育处、教务处、教科处、后勤处。</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二、单位决算收支情况说明</w:t>
      </w:r>
    </w:p>
    <w:p>
      <w:pPr>
        <w:pStyle w:val="11"/>
        <w:autoSpaceDE w:val="0"/>
        <w:ind w:firstLine="643"/>
        <w:rPr>
          <w:rFonts w:ascii="楷体" w:hAnsi="楷体" w:eastAsia="方正楷体_GBK" w:cs="楷体"/>
          <w:b/>
          <w:bCs/>
          <w:sz w:val="32"/>
          <w:szCs w:val="32"/>
          <w:shd w:val="clear" w:color="auto" w:fill="FFFFFF"/>
        </w:rPr>
      </w:pPr>
      <w:r>
        <w:rPr>
          <w:rFonts w:hint="eastAsia" w:ascii="楷体" w:hAnsi="楷体" w:eastAsia="方正楷体_GBK" w:cs="楷体"/>
          <w:b/>
          <w:bCs/>
          <w:sz w:val="32"/>
          <w:szCs w:val="32"/>
          <w:shd w:val="clear" w:color="auto" w:fill="FFFFFF"/>
        </w:rPr>
        <w:t>（一）收入支出决算总体情况说明。</w:t>
      </w:r>
    </w:p>
    <w:p>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2024年度收入总计840.28万元，支出总计</w:t>
      </w:r>
      <w:r>
        <w:rPr>
          <w:rFonts w:ascii="方正仿宋_GBK" w:hAnsi="方正仿宋_GBK" w:eastAsia="方正仿宋_GBK" w:cs="方正仿宋_GBK"/>
          <w:sz w:val="32"/>
          <w:szCs w:val="32"/>
        </w:rPr>
        <w:t>840.28</w:t>
      </w:r>
      <w:r>
        <w:rPr>
          <w:rFonts w:ascii="方正仿宋_GBK" w:hAnsi="方正仿宋_GBK" w:eastAsia="方正仿宋_GBK" w:cs="方正仿宋_GBK"/>
          <w:sz w:val="32"/>
          <w:szCs w:val="32"/>
          <w:shd w:val="clear" w:color="auto" w:fill="FFFFFF"/>
        </w:rPr>
        <w:t>万元。收、支与2023年度相比，减少137.07万元，下降14.02%，主要原因是2023年清算补发以前年度超额绩效和健康休养费且本年因教师人数减少致人员经费减少，学生人数减少致公用经费、事业收入及课后延时服务费减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834.47万元，与2023年度相比，减少118.40万元，下降12.43%，主要原因是2023年清算补发以前年度超额绩效和健康休养费且本年因教师人数减少致人员经费减少，学生人数减少致公用经费、事业收入及课后延时服务费减少。其中：财政拨款收入</w:t>
      </w:r>
      <w:r>
        <w:rPr>
          <w:rFonts w:ascii="方正仿宋_GBK" w:hAnsi="方正仿宋_GBK" w:eastAsia="方正仿宋_GBK" w:cs="方正仿宋_GBK"/>
          <w:sz w:val="32"/>
          <w:szCs w:val="32"/>
        </w:rPr>
        <w:t>815.53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97.73</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4.53</w:t>
      </w:r>
      <w:r>
        <w:rPr>
          <w:rFonts w:ascii="方正仿宋_GBK" w:hAnsi="方正仿宋_GBK" w:eastAsia="方正仿宋_GBK" w:cs="方正仿宋_GBK"/>
          <w:sz w:val="32"/>
          <w:szCs w:val="32"/>
          <w:shd w:val="clear" w:color="auto" w:fill="FFFFFF"/>
        </w:rPr>
        <w:t>万元，占0.54%；经营收入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14.42</w:t>
      </w:r>
      <w:r>
        <w:rPr>
          <w:rFonts w:ascii="方正仿宋_GBK" w:hAnsi="方正仿宋_GBK" w:eastAsia="方正仿宋_GBK" w:cs="方正仿宋_GBK"/>
          <w:sz w:val="32"/>
          <w:szCs w:val="32"/>
          <w:shd w:val="clear" w:color="auto" w:fill="FFFFFF"/>
        </w:rPr>
        <w:t>万元，占1.73%。此外，使用非财政拨款结余和专用结余</w:t>
      </w:r>
      <w:r>
        <w:rPr>
          <w:rFonts w:ascii="方正仿宋_GBK" w:hAnsi="方正仿宋_GBK" w:eastAsia="方正仿宋_GBK" w:cs="方正仿宋_GBK"/>
          <w:sz w:val="32"/>
          <w:szCs w:val="32"/>
        </w:rPr>
        <w:t>5.81</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840.28</w:t>
      </w:r>
      <w:r>
        <w:rPr>
          <w:rFonts w:ascii="方正仿宋_GBK" w:hAnsi="方正仿宋_GBK" w:eastAsia="方正仿宋_GBK" w:cs="方正仿宋_GBK"/>
          <w:sz w:val="32"/>
          <w:szCs w:val="32"/>
          <w:shd w:val="clear" w:color="auto" w:fill="FFFFFF"/>
        </w:rPr>
        <w:t>万元，与2023年度相比，减少128.96万元，下降13.31%，主要原因是2023年清算补发以前年度超额绩效和健康休养费且本年因教师人数减少致人员经费减少，学生人数减少致公用经费、事业收入及课后延时服务费减少。其中：基本支出</w:t>
      </w:r>
      <w:r>
        <w:rPr>
          <w:rFonts w:ascii="方正仿宋_GBK" w:hAnsi="方正仿宋_GBK" w:eastAsia="方正仿宋_GBK" w:cs="方正仿宋_GBK"/>
          <w:sz w:val="32"/>
          <w:szCs w:val="32"/>
        </w:rPr>
        <w:t>732.61</w:t>
      </w:r>
      <w:r>
        <w:rPr>
          <w:rFonts w:ascii="方正仿宋_GBK" w:hAnsi="方正仿宋_GBK" w:eastAsia="方正仿宋_GBK" w:cs="方正仿宋_GBK"/>
          <w:sz w:val="32"/>
          <w:szCs w:val="32"/>
          <w:shd w:val="clear" w:color="auto" w:fill="FFFFFF"/>
        </w:rPr>
        <w:t>万元，占87.19%；项目支出</w:t>
      </w:r>
      <w:r>
        <w:rPr>
          <w:rFonts w:ascii="方正仿宋_GBK" w:hAnsi="方正仿宋_GBK" w:eastAsia="方正仿宋_GBK" w:cs="方正仿宋_GBK"/>
          <w:sz w:val="32"/>
          <w:szCs w:val="32"/>
        </w:rPr>
        <w:t>107.67</w:t>
      </w:r>
      <w:r>
        <w:rPr>
          <w:rFonts w:ascii="方正仿宋_GBK" w:hAnsi="方正仿宋_GBK" w:eastAsia="方正仿宋_GBK" w:cs="方正仿宋_GBK"/>
          <w:sz w:val="32"/>
          <w:szCs w:val="32"/>
          <w:shd w:val="clear" w:color="auto" w:fill="FFFFFF"/>
        </w:rPr>
        <w:t>万元，占12.81%；经营支出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万元，与2023年度相比，无增减，主要原因是2023年和2024年均无年末结转和结余。</w:t>
      </w:r>
    </w:p>
    <w:p>
      <w:pPr>
        <w:pStyle w:val="11"/>
        <w:autoSpaceDE w:val="0"/>
        <w:ind w:firstLine="643"/>
        <w:rPr>
          <w:rFonts w:ascii="楷体" w:hAnsi="楷体" w:eastAsia="方正楷体_GBK" w:cs="楷体"/>
          <w:b/>
          <w:bCs/>
          <w:sz w:val="32"/>
          <w:szCs w:val="32"/>
          <w:shd w:val="clear" w:color="auto" w:fill="FFFFFF"/>
        </w:rPr>
      </w:pPr>
      <w:r>
        <w:rPr>
          <w:rFonts w:hint="eastAsia" w:ascii="楷体" w:hAnsi="楷体" w:eastAsia="方正楷体_GBK" w:cs="楷体"/>
          <w:b/>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815.52万元。与2023年相比，财政拨款收、支总计各减少127.03万元，下降13.48%。主要原因是2023年清算补发以前年度超额绩效和健康休养费且本年因教师人数减少致人员经费减少，学生人数减少致公用经费减少。</w:t>
      </w:r>
    </w:p>
    <w:p>
      <w:pPr>
        <w:pStyle w:val="11"/>
        <w:autoSpaceDE w:val="0"/>
        <w:ind w:firstLine="643"/>
        <w:rPr>
          <w:rFonts w:ascii="楷体" w:hAnsi="楷体" w:eastAsia="方正楷体_GBK" w:cs="楷体"/>
          <w:b/>
          <w:bCs/>
          <w:sz w:val="32"/>
          <w:szCs w:val="32"/>
          <w:shd w:val="clear" w:color="auto" w:fill="FFFFFF"/>
        </w:rPr>
      </w:pPr>
      <w:r>
        <w:rPr>
          <w:rFonts w:hint="eastAsia" w:ascii="楷体" w:hAnsi="楷体" w:eastAsia="方正楷体_GBK"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774.97</w:t>
      </w:r>
      <w:r>
        <w:rPr>
          <w:rFonts w:ascii="方正仿宋_GBK" w:hAnsi="方正仿宋_GBK" w:eastAsia="方正仿宋_GBK" w:cs="方正仿宋_GBK"/>
          <w:sz w:val="32"/>
          <w:szCs w:val="32"/>
          <w:shd w:val="clear" w:color="auto" w:fill="FFFFFF"/>
        </w:rPr>
        <w:t>万元，与2023年度相比，减少151.77万元，下降16.38%。主要原因是2023年清算补发以前年度超额绩效和健康休养费且本年因教师人数减少致人员经费减少，学生人数减少致公用经费减少。较年初预算数增加42.84万元，增长5.85%。</w:t>
      </w:r>
      <w:r>
        <w:rPr>
          <w:rFonts w:ascii="方正仿宋_GBK" w:hAnsi="方正仿宋_GBK" w:eastAsia="方正仿宋_GBK" w:cs="方正仿宋_GBK"/>
          <w:sz w:val="32"/>
          <w:szCs w:val="32"/>
          <w:shd w:val="clear" w:color="auto" w:fill="FFFFFF"/>
          <w:lang w:bidi="ar"/>
        </w:rPr>
        <w:t>主要原因是本年预算执行中教职工正常晋升、晋岗晋级及</w:t>
      </w:r>
      <w:r>
        <w:rPr>
          <w:rFonts w:ascii="方正仿宋_GBK" w:eastAsia="方正仿宋_GBK"/>
          <w:sz w:val="32"/>
          <w:szCs w:val="32"/>
          <w:shd w:val="clear" w:color="auto" w:fill="FFFFFF"/>
          <w:lang w:bidi="ar"/>
        </w:rPr>
        <w:t>将超额绩效纳入养老保险和职业年金基数</w:t>
      </w:r>
      <w:r>
        <w:rPr>
          <w:rFonts w:ascii="方正仿宋_GBK" w:hAnsi="方正仿宋_GBK" w:eastAsia="方正仿宋_GBK" w:cs="方正仿宋_GBK"/>
          <w:sz w:val="32"/>
          <w:szCs w:val="32"/>
          <w:shd w:val="clear" w:color="auto" w:fill="FFFFFF"/>
          <w:lang w:bidi="ar"/>
        </w:rPr>
        <w:t>等人员经费类基本支出增加。</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774.97</w:t>
      </w:r>
      <w:r>
        <w:rPr>
          <w:rFonts w:ascii="方正仿宋_GBK" w:hAnsi="方正仿宋_GBK" w:eastAsia="方正仿宋_GBK" w:cs="方正仿宋_GBK"/>
          <w:sz w:val="32"/>
          <w:szCs w:val="32"/>
          <w:shd w:val="clear" w:color="auto" w:fill="FFFFFF"/>
        </w:rPr>
        <w:t>万元，与2023年度相比，减少167.58万元，下降17.78%。主要原因是2023年清算补发以前年度超额绩效和健康休养费且本年因教师人数减少致人员经费减少，学生人数减少致公用经费减少。较年初预算数增加42.84万元，增长5.85%。</w:t>
      </w:r>
      <w:r>
        <w:rPr>
          <w:rFonts w:ascii="方正仿宋_GBK" w:hAnsi="方正仿宋_GBK" w:eastAsia="方正仿宋_GBK" w:cs="方正仿宋_GBK"/>
          <w:sz w:val="32"/>
          <w:szCs w:val="32"/>
          <w:shd w:val="clear" w:color="auto" w:fill="FFFFFF"/>
          <w:lang w:bidi="ar"/>
        </w:rPr>
        <w:t>主要原因是本年预算执行中教职工正常晋升、晋岗晋级及</w:t>
      </w:r>
      <w:r>
        <w:rPr>
          <w:rFonts w:ascii="方正仿宋_GBK" w:eastAsia="方正仿宋_GBK"/>
          <w:sz w:val="32"/>
          <w:szCs w:val="32"/>
          <w:shd w:val="clear" w:color="auto" w:fill="FFFFFF"/>
          <w:lang w:bidi="ar"/>
        </w:rPr>
        <w:t>将超额绩效纳入养老保险和职业年金基数</w:t>
      </w:r>
      <w:r>
        <w:rPr>
          <w:rFonts w:ascii="方正仿宋_GBK" w:hAnsi="方正仿宋_GBK" w:eastAsia="方正仿宋_GBK" w:cs="方正仿宋_GBK"/>
          <w:sz w:val="32"/>
          <w:szCs w:val="32"/>
          <w:shd w:val="clear" w:color="auto" w:fill="FFFFFF"/>
          <w:lang w:bidi="ar"/>
        </w:rPr>
        <w:t>等人员经费类基本支出增加</w:t>
      </w:r>
      <w:r>
        <w:rPr>
          <w:rFonts w:ascii="方正仿宋_GBK" w:eastAsia="方正仿宋_GBK"/>
          <w:color w:val="000000"/>
          <w:sz w:val="32"/>
          <w:szCs w:val="32"/>
        </w:rPr>
        <w:t>。</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ascii="方正仿宋_GBK" w:hAnsi="方正仿宋_GBK" w:eastAsia="方正仿宋_GBK" w:cs="方正仿宋_GBK"/>
          <w:color w:val="000000"/>
          <w:sz w:val="32"/>
          <w:szCs w:val="32"/>
          <w:shd w:val="clear" w:color="auto" w:fill="FFFFFF"/>
        </w:rPr>
        <w:t>主要原因是本单位本年末无一般公共预算财政拨款结转和结余。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475.23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61.32</w:t>
      </w:r>
      <w:r>
        <w:rPr>
          <w:rFonts w:ascii="方正仿宋_GBK" w:hAnsi="方正仿宋_GBK" w:eastAsia="方正仿宋_GBK" w:cs="方正仿宋_GBK"/>
          <w:sz w:val="32"/>
          <w:szCs w:val="32"/>
          <w:shd w:val="clear" w:color="auto" w:fill="FFFFFF"/>
        </w:rPr>
        <w:t>%，较年初预算数增加18.77万元，增长4.11%，</w:t>
      </w:r>
      <w:r>
        <w:rPr>
          <w:rFonts w:ascii="方正仿宋_GBK" w:eastAsia="方正仿宋_GBK"/>
          <w:color w:val="000000"/>
          <w:sz w:val="32"/>
          <w:szCs w:val="32"/>
        </w:rPr>
        <w:t>主要原因是教职工正常晋升、晋岗晋级等人员经费类基本支出增加。</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250.54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32.33</w:t>
      </w:r>
      <w:r>
        <w:rPr>
          <w:rFonts w:ascii="方正仿宋_GBK" w:hAnsi="方正仿宋_GBK" w:eastAsia="方正仿宋_GBK" w:cs="方正仿宋_GBK"/>
          <w:sz w:val="32"/>
          <w:szCs w:val="32"/>
          <w:shd w:val="clear" w:color="auto" w:fill="FFFFFF"/>
        </w:rPr>
        <w:t>%，较年初预算数增加31.00万元，增长14.12%，主要原因是</w:t>
      </w:r>
      <w:r>
        <w:rPr>
          <w:rFonts w:ascii="方正仿宋_GBK" w:eastAsia="方正仿宋_GBK"/>
          <w:color w:val="000000"/>
          <w:sz w:val="32"/>
          <w:szCs w:val="32"/>
        </w:rPr>
        <w:t>本年度预算执行中</w:t>
      </w:r>
      <w:r>
        <w:rPr>
          <w:rFonts w:ascii="方正仿宋_GBK" w:hAnsi="方正仿宋_GBK" w:eastAsia="方正仿宋_GBK" w:cs="方正仿宋_GBK"/>
          <w:sz w:val="32"/>
          <w:szCs w:val="32"/>
          <w:shd w:val="clear" w:color="auto" w:fill="FFFFFF"/>
        </w:rPr>
        <w:t>将超额绩效纳入养老保险和职业年金基数致社会保障与就业支出增加</w:t>
      </w:r>
      <w:r>
        <w:rPr>
          <w:rFonts w:ascii="方正仿宋_GBK" w:eastAsia="方正仿宋_GBK"/>
          <w:color w:val="000000"/>
          <w:sz w:val="32"/>
          <w:szCs w:val="32"/>
        </w:rPr>
        <w:t>调整年初预算</w:t>
      </w:r>
      <w:r>
        <w:rPr>
          <w:rFonts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22.42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2.89</w:t>
      </w:r>
      <w:r>
        <w:rPr>
          <w:rFonts w:ascii="方正仿宋_GBK" w:hAnsi="方正仿宋_GBK" w:eastAsia="方正仿宋_GBK" w:cs="方正仿宋_GBK"/>
          <w:sz w:val="32"/>
          <w:szCs w:val="32"/>
          <w:shd w:val="clear" w:color="auto" w:fill="FFFFFF"/>
        </w:rPr>
        <w:t>%，较年初预算数减少3.09万元，下降12.11%，</w:t>
      </w:r>
      <w:r>
        <w:rPr>
          <w:rFonts w:ascii="方正仿宋_GBK" w:eastAsia="方正仿宋_GBK"/>
          <w:color w:val="000000"/>
          <w:sz w:val="32"/>
          <w:szCs w:val="32"/>
        </w:rPr>
        <w:t>主要原因是本年度预算执行中教职工减少致医疗保险支出减少调整年初预算。</w:t>
      </w:r>
    </w:p>
    <w:p>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住房保障支出26.78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3.46</w:t>
      </w:r>
      <w:r>
        <w:rPr>
          <w:rFonts w:ascii="方正仿宋_GBK" w:hAnsi="方正仿宋_GBK" w:eastAsia="方正仿宋_GBK" w:cs="方正仿宋_GBK"/>
          <w:sz w:val="32"/>
          <w:szCs w:val="32"/>
          <w:shd w:val="clear" w:color="auto" w:fill="FFFFFF"/>
        </w:rPr>
        <w:t>%，较年初预算数减少3.83万元，下降12.51%，</w:t>
      </w:r>
      <w:r>
        <w:rPr>
          <w:rFonts w:ascii="方正仿宋_GBK" w:eastAsia="方正仿宋_GBK"/>
          <w:color w:val="000000"/>
          <w:sz w:val="32"/>
          <w:szCs w:val="32"/>
        </w:rPr>
        <w:t>主要原因是本年度预算执行中教职工减少致</w:t>
      </w:r>
      <w:r>
        <w:rPr>
          <w:rFonts w:ascii="方正仿宋_GBK" w:hAnsi="方正仿宋_GBK" w:eastAsia="方正仿宋_GBK" w:cs="方正仿宋_GBK"/>
          <w:sz w:val="32"/>
          <w:szCs w:val="32"/>
        </w:rPr>
        <w:t>住房保障支出</w:t>
      </w:r>
      <w:r>
        <w:rPr>
          <w:rFonts w:ascii="方正仿宋_GBK" w:eastAsia="方正仿宋_GBK"/>
          <w:color w:val="000000"/>
          <w:sz w:val="32"/>
          <w:szCs w:val="32"/>
        </w:rPr>
        <w:t>减少调整年初预算。</w:t>
      </w:r>
    </w:p>
    <w:p>
      <w:pPr>
        <w:pStyle w:val="11"/>
        <w:autoSpaceDE w:val="0"/>
        <w:ind w:firstLine="643"/>
        <w:rPr>
          <w:rFonts w:ascii="楷体" w:hAnsi="楷体" w:eastAsia="方正楷体_GBK" w:cs="楷体"/>
          <w:b/>
          <w:bCs/>
          <w:sz w:val="32"/>
          <w:szCs w:val="32"/>
          <w:shd w:val="clear" w:color="auto" w:fill="FFFFFF"/>
        </w:rPr>
      </w:pPr>
      <w:r>
        <w:rPr>
          <w:rFonts w:hint="eastAsia" w:ascii="楷体" w:hAnsi="楷体" w:eastAsia="方正楷体_GBK" w:cs="楷体"/>
          <w:b/>
          <w:bCs/>
          <w:sz w:val="32"/>
          <w:szCs w:val="32"/>
          <w:shd w:val="clear" w:color="auto" w:fill="FFFFFF"/>
        </w:rPr>
        <w:t>（四）一般公共预算财政拨款基本支出决算情况说明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w:t>
      </w:r>
      <w:r>
        <w:rPr>
          <w:rFonts w:hint="eastAsia" w:ascii="方正仿宋_GBK" w:hAnsi="方正仿宋_GBK" w:eastAsia="方正仿宋_GBK" w:cs="方正仿宋_GBK"/>
          <w:sz w:val="32"/>
          <w:szCs w:val="32"/>
          <w:shd w:val="clear" w:color="auto" w:fill="FFFFFF"/>
          <w:lang w:val="en-US" w:eastAsia="zh-CN"/>
        </w:rPr>
        <w:t>预算</w:t>
      </w:r>
      <w:r>
        <w:rPr>
          <w:rFonts w:ascii="方正仿宋_GBK" w:hAnsi="方正仿宋_GBK" w:eastAsia="方正仿宋_GBK" w:cs="方正仿宋_GBK"/>
          <w:sz w:val="32"/>
          <w:szCs w:val="32"/>
          <w:shd w:val="clear" w:color="auto" w:fill="FFFFFF"/>
        </w:rPr>
        <w:t>财政拨款基本支出</w:t>
      </w:r>
      <w:r>
        <w:rPr>
          <w:rFonts w:ascii="方正仿宋_GBK" w:hAnsi="方正仿宋_GBK" w:eastAsia="方正仿宋_GBK" w:cs="方正仿宋_GBK"/>
          <w:sz w:val="32"/>
          <w:szCs w:val="32"/>
        </w:rPr>
        <w:t>708.58</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694.56</w:t>
      </w:r>
      <w:r>
        <w:rPr>
          <w:rFonts w:ascii="方正仿宋_GBK" w:hAnsi="方正仿宋_GBK" w:eastAsia="方正仿宋_GBK" w:cs="方正仿宋_GBK"/>
          <w:sz w:val="32"/>
          <w:szCs w:val="32"/>
          <w:shd w:val="clear" w:color="auto" w:fill="FFFFFF"/>
        </w:rPr>
        <w:t>万元，与2023年度相比，减少144.56万元，下降17.23%，主要原因是2023年清算补发以前年度超额绩效和健康休养费且本年因教师人数减少致人员经费减少。</w:t>
      </w:r>
      <w:r>
        <w:rPr>
          <w:rFonts w:ascii="方正仿宋_GBK" w:eastAsia="方正仿宋_GBK"/>
          <w:color w:val="000000"/>
          <w:sz w:val="32"/>
          <w:szCs w:val="32"/>
        </w:rPr>
        <w:t>人员经费用途主要包括教师统发工资、绩效工资、社会保障和就业支出、医疗卫生支出和住房保障支出。</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14.02</w:t>
      </w:r>
      <w:r>
        <w:rPr>
          <w:rFonts w:ascii="方正仿宋_GBK" w:hAnsi="方正仿宋_GBK" w:eastAsia="方正仿宋_GBK" w:cs="方正仿宋_GBK"/>
          <w:sz w:val="32"/>
          <w:szCs w:val="32"/>
          <w:shd w:val="clear" w:color="auto" w:fill="FFFFFF"/>
        </w:rPr>
        <w:t>万元，与2023年度相比，减少7.43万元，下降34.64%，</w:t>
      </w:r>
      <w:r>
        <w:rPr>
          <w:rFonts w:ascii="方正仿宋_GBK" w:eastAsia="方正仿宋_GBK"/>
          <w:color w:val="000000"/>
          <w:sz w:val="32"/>
          <w:szCs w:val="32"/>
        </w:rPr>
        <w:t>主要原因是本年因学生人数减少致公用经费下降。</w:t>
      </w:r>
      <w:r>
        <w:rPr>
          <w:rFonts w:ascii="方正仿宋_GBK" w:hAnsi="方正仿宋_GBK" w:eastAsia="方正仿宋_GBK" w:cs="方正仿宋_GBK"/>
          <w:sz w:val="32"/>
          <w:szCs w:val="32"/>
          <w:shd w:val="clear" w:color="auto" w:fill="FFFFFF"/>
        </w:rPr>
        <w:t>公用经费用途主要包括学校正常运行的培训费、工会经费及福利费等支出。</w:t>
      </w:r>
    </w:p>
    <w:p>
      <w:pPr>
        <w:pStyle w:val="11"/>
        <w:autoSpaceDE w:val="0"/>
        <w:ind w:firstLine="643"/>
        <w:rPr>
          <w:rFonts w:ascii="楷体" w:hAnsi="楷体" w:eastAsia="方正楷体_GBK" w:cs="楷体"/>
          <w:b/>
          <w:bCs/>
          <w:sz w:val="32"/>
          <w:szCs w:val="32"/>
          <w:shd w:val="clear" w:color="auto" w:fill="FFFFFF"/>
        </w:rPr>
      </w:pPr>
      <w:r>
        <w:rPr>
          <w:rFonts w:hint="eastAsia" w:ascii="楷体" w:hAnsi="楷体" w:eastAsia="方正楷体_GBK" w:cs="楷体"/>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40.56</w:t>
      </w:r>
      <w:r>
        <w:rPr>
          <w:rFonts w:ascii="方正仿宋_GBK" w:hAnsi="方正仿宋_GBK" w:eastAsia="方正仿宋_GBK" w:cs="方正仿宋_GBK"/>
          <w:sz w:val="32"/>
          <w:szCs w:val="32"/>
          <w:shd w:val="clear" w:color="auto" w:fill="FFFFFF"/>
        </w:rPr>
        <w:t>万元，与2023年度相比，增加40.56万元，增长100.00%，主要原因本年执行中追加预算土地征收补偿金。本年支出</w:t>
      </w:r>
      <w:r>
        <w:rPr>
          <w:rFonts w:ascii="方正仿宋_GBK" w:hAnsi="方正仿宋_GBK" w:eastAsia="方正仿宋_GBK" w:cs="方正仿宋_GBK"/>
          <w:sz w:val="32"/>
          <w:szCs w:val="32"/>
        </w:rPr>
        <w:t>40.56</w:t>
      </w:r>
      <w:r>
        <w:rPr>
          <w:rFonts w:ascii="方正仿宋_GBK" w:hAnsi="方正仿宋_GBK" w:eastAsia="方正仿宋_GBK" w:cs="方正仿宋_GBK"/>
          <w:sz w:val="32"/>
          <w:szCs w:val="32"/>
          <w:shd w:val="clear" w:color="auto" w:fill="FFFFFF"/>
        </w:rPr>
        <w:t>万元，与2023年度相比，增加40.56万元，增长100.00%，主要原因本年执行中追加预算土地征收补偿金。</w:t>
      </w:r>
    </w:p>
    <w:p>
      <w:pPr>
        <w:pStyle w:val="11"/>
        <w:autoSpaceDE w:val="0"/>
        <w:ind w:firstLine="643"/>
        <w:rPr>
          <w:rFonts w:ascii="楷体" w:hAnsi="楷体" w:eastAsia="方正楷体_GBK" w:cs="楷体"/>
          <w:b/>
          <w:bCs/>
          <w:sz w:val="32"/>
          <w:szCs w:val="32"/>
          <w:shd w:val="clear" w:color="auto" w:fill="FFFFFF"/>
        </w:rPr>
      </w:pPr>
      <w:r>
        <w:rPr>
          <w:rFonts w:hint="eastAsia" w:ascii="楷体" w:hAnsi="楷体" w:eastAsia="方正楷体_GBK" w:cs="楷体"/>
          <w:b/>
          <w:bCs/>
          <w:sz w:val="32"/>
          <w:szCs w:val="32"/>
          <w:shd w:val="clear" w:color="auto" w:fill="FFFFFF"/>
        </w:rPr>
        <w:t>（六）国有资本经营预算财政拨款支出决算情况说明</w:t>
      </w:r>
    </w:p>
    <w:p>
      <w:pPr>
        <w:pStyle w:val="6"/>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2024年度国有资本经营预算财政拨</w:t>
      </w:r>
      <w:r>
        <w:rPr>
          <w:rFonts w:hint="eastAsia" w:ascii="方正仿宋_GBK" w:hAnsi="方正仿宋_GBK" w:eastAsia="方正仿宋_GBK" w:cs="方正仿宋_GBK"/>
          <w:sz w:val="32"/>
          <w:szCs w:val="32"/>
          <w:shd w:val="clear" w:color="auto" w:fill="FFFFFF"/>
          <w:lang w:val="en-US"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万元。本单位2024年度无国有资本经营预算财政拨款支出。</w:t>
      </w:r>
    </w:p>
    <w:p>
      <w:pPr>
        <w:pStyle w:val="6"/>
        <w:shd w:val="clear" w:color="auto" w:fill="FFFFFF"/>
        <w:spacing w:line="600" w:lineRule="exact"/>
        <w:ind w:firstLine="640" w:firstLineChars="200"/>
        <w:rPr>
          <w:rStyle w:val="10"/>
          <w:rFonts w:hint="default" w:ascii="方正黑体_GBK" w:hAnsi="方正黑体_GBK" w:eastAsia="方正黑体_GBK" w:cs="方正黑体_GBK"/>
          <w:b w:val="0"/>
          <w:bCs/>
          <w:sz w:val="32"/>
          <w:szCs w:val="32"/>
          <w:shd w:val="clear" w:color="auto" w:fill="FFFFFF"/>
        </w:rPr>
      </w:pPr>
      <w:r>
        <w:rPr>
          <w:rStyle w:val="10"/>
          <w:rFonts w:ascii="方正黑体_GBK" w:hAnsi="方正黑体_GBK" w:eastAsia="方正黑体_GBK" w:cs="方正黑体_GBK"/>
          <w:b w:val="0"/>
          <w:bCs/>
          <w:sz w:val="32"/>
          <w:szCs w:val="32"/>
          <w:shd w:val="clear" w:color="auto" w:fill="FFFFFF"/>
        </w:rPr>
        <w:t>三、财政拨款“三公”经费情况说明</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（一）“三公”经费支出总体情况说明</w:t>
      </w:r>
    </w:p>
    <w:p>
      <w:pPr>
        <w:spacing w:line="600" w:lineRule="exact"/>
        <w:ind w:firstLine="640" w:firstLineChars="200"/>
        <w:rPr>
          <w:rFonts w:hint="default" w:ascii="方正仿宋_GBK" w:eastAsia="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w:t>
      </w:r>
      <w:r>
        <w:rPr>
          <w:rFonts w:ascii="方正仿宋_GBK" w:eastAsia="方正仿宋_GBK"/>
          <w:sz w:val="32"/>
          <w:szCs w:val="32"/>
        </w:rPr>
        <w:t>主要原因是年初预算数</w:t>
      </w:r>
      <w:r>
        <w:rPr>
          <w:rFonts w:ascii="方正仿宋_GBK" w:hAnsi="方正仿宋_GBK" w:eastAsia="方正仿宋_GBK" w:cs="方正仿宋_GBK"/>
          <w:sz w:val="32"/>
          <w:szCs w:val="32"/>
          <w:shd w:val="clear" w:color="auto" w:fill="FFFFFF"/>
        </w:rPr>
        <w:t>未安排“三公”</w:t>
      </w:r>
      <w:r>
        <w:rPr>
          <w:rFonts w:ascii="方正仿宋_GBK" w:eastAsia="方正仿宋_GBK"/>
          <w:sz w:val="32"/>
          <w:szCs w:val="32"/>
        </w:rPr>
        <w:t>经费支出。</w:t>
      </w:r>
      <w:r>
        <w:rPr>
          <w:rFonts w:ascii="方正仿宋_GBK" w:hAnsi="方正仿宋_GBK" w:eastAsia="方正仿宋_GBK" w:cs="方正仿宋_GBK"/>
          <w:sz w:val="32"/>
          <w:szCs w:val="32"/>
          <w:shd w:val="clear" w:color="auto" w:fill="FFFFFF"/>
        </w:rPr>
        <w:t>较上年支出数无增减，主要原因是上年和本年均未发生</w:t>
      </w:r>
      <w:r>
        <w:rPr>
          <w:rFonts w:ascii="方正仿宋_GBK" w:eastAsia="方正仿宋_GBK"/>
          <w:sz w:val="32"/>
          <w:szCs w:val="32"/>
        </w:rPr>
        <w:t>“三公”经费开支。</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（二）“三公”经费分项支出情况</w:t>
      </w:r>
    </w:p>
    <w:p>
      <w:pPr>
        <w:pStyle w:val="6"/>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主要原因是年初预算数未安排因公出国（境）费用，也未发生因公出国（境）费用。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主要原因是上年和本年均未发生因公出国（境）费用。</w:t>
      </w:r>
    </w:p>
    <w:p>
      <w:pPr>
        <w:pStyle w:val="6"/>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主要原因是年初预算数未安排公务车购置费用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主要原因是上年和本年均未发生公务车购置费用。</w:t>
      </w:r>
    </w:p>
    <w:p>
      <w:pPr>
        <w:pStyle w:val="6"/>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val="en-US" w:eastAsia="zh-CN"/>
        </w:rPr>
        <w:t>用</w:t>
      </w:r>
      <w:r>
        <w:rPr>
          <w:rFonts w:ascii="方正仿宋_GBK" w:hAnsi="方正仿宋_GBK" w:eastAsia="方正仿宋_GBK" w:cs="方正仿宋_GBK"/>
          <w:sz w:val="32"/>
          <w:szCs w:val="32"/>
          <w:shd w:val="clear" w:color="auto" w:fill="FFFFFF"/>
        </w:rPr>
        <w:t>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p>
    <w:p>
      <w:pPr>
        <w:pStyle w:val="6"/>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（三）“三公”经费实物量情况</w:t>
      </w:r>
    </w:p>
    <w:p>
      <w:pPr>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四、其他需要说明的事项</w:t>
      </w:r>
    </w:p>
    <w:p>
      <w:pPr>
        <w:pStyle w:val="11"/>
        <w:autoSpaceDE w:val="0"/>
        <w:ind w:firstLine="643"/>
        <w:rPr>
          <w:rFonts w:ascii="楷体" w:hAnsi="楷体" w:eastAsia="方正楷体_GBK" w:cs="楷体"/>
          <w:b/>
          <w:bCs/>
          <w:sz w:val="32"/>
          <w:szCs w:val="32"/>
          <w:shd w:val="clear" w:color="auto" w:fill="FFFFFF"/>
        </w:rPr>
      </w:pPr>
      <w:r>
        <w:rPr>
          <w:rFonts w:hint="eastAsia" w:ascii="楷体" w:hAnsi="楷体" w:eastAsia="方正楷体_GBK" w:cs="楷体"/>
          <w:b/>
          <w:bCs/>
          <w:sz w:val="32"/>
          <w:szCs w:val="32"/>
          <w:shd w:val="clear" w:color="auto" w:fill="FFFFFF"/>
        </w:rPr>
        <w:t>（一）财政拨款会议费和培训费情况说明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ascii="方正仿宋_GBK" w:eastAsia="方正仿宋_GBK"/>
          <w:color w:val="000000"/>
          <w:sz w:val="32"/>
          <w:szCs w:val="32"/>
        </w:rPr>
        <w:t>主要原因是上年和本年均未发生会议费支出</w:t>
      </w:r>
      <w:r>
        <w:rPr>
          <w:rFonts w:ascii="方正仿宋_GBK" w:hAnsi="方正仿宋_GBK" w:eastAsia="方正仿宋_GBK" w:cs="方正仿宋_GBK"/>
          <w:color w:val="000000"/>
          <w:sz w:val="32"/>
          <w:szCs w:val="32"/>
          <w:shd w:val="clear" w:color="auto" w:fill="FFFFFF"/>
        </w:rPr>
        <w:t>。</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1.74</w:t>
      </w:r>
      <w:r>
        <w:rPr>
          <w:rFonts w:ascii="方正仿宋_GBK" w:hAnsi="方正仿宋_GBK" w:eastAsia="方正仿宋_GBK" w:cs="方正仿宋_GBK"/>
          <w:sz w:val="32"/>
          <w:szCs w:val="32"/>
          <w:shd w:val="clear" w:color="auto" w:fill="FFFFFF"/>
        </w:rPr>
        <w:t>万元，与2023年度相比，减少1.22万元，下降41.22%，主要原因是本年度学校压减培训等公用经费支出。</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（二）机关运行经费情况说明</w:t>
      </w:r>
    </w:p>
    <w:p>
      <w:pPr>
        <w:pStyle w:val="6"/>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0万元，机关运行经费较上年支出数无增减，主要原因是按照部门决算列报口</w:t>
      </w:r>
      <w:r>
        <w:rPr>
          <w:rFonts w:ascii="方正仿宋_GBK" w:eastAsia="方正仿宋_GBK"/>
          <w:bCs/>
          <w:sz w:val="32"/>
          <w:szCs w:val="32"/>
        </w:rPr>
        <w:t>径，我单位不在机关运行经费统计范围之内。</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（三）国有资产占用情况说明</w:t>
      </w:r>
    </w:p>
    <w:p>
      <w:pPr>
        <w:pStyle w:val="11"/>
        <w:autoSpaceDE w:val="0"/>
        <w:spacing w:line="600" w:lineRule="exact"/>
        <w:ind w:firstLine="64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截至202</w:t>
      </w:r>
      <w:r>
        <w:rPr>
          <w:rFonts w:hint="eastAsia"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autoSpaceDE w:val="0"/>
        <w:spacing w:line="600" w:lineRule="exact"/>
        <w:ind w:firstLine="643"/>
        <w:rPr>
          <w:rFonts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（四）政府采购支出情况说明</w:t>
      </w:r>
    </w:p>
    <w:p>
      <w:pPr>
        <w:pStyle w:val="6"/>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2024年度本单位政府采购支出总额</w:t>
      </w:r>
      <w:r>
        <w:rPr>
          <w:rFonts w:ascii="方正仿宋_GBK" w:hAnsi="方正仿宋_GBK" w:eastAsia="方正仿宋_GBK" w:cs="方正仿宋_GBK"/>
          <w:sz w:val="32"/>
          <w:szCs w:val="32"/>
        </w:rPr>
        <w:t>5.35</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5.35</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5.35万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0.25</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4.71</w:t>
      </w:r>
      <w:r>
        <w:rPr>
          <w:rFonts w:ascii="方正仿宋_GBK" w:hAnsi="方正仿宋_GBK" w:eastAsia="方正仿宋_GBK" w:cs="方正仿宋_GBK"/>
          <w:sz w:val="32"/>
          <w:szCs w:val="32"/>
          <w:shd w:val="clear" w:color="auto" w:fill="FFFFFF"/>
        </w:rPr>
        <w:t xml:space="preserve"> %。主要用于采购教育教学所需的设备。</w:t>
      </w:r>
    </w:p>
    <w:p>
      <w:pPr>
        <w:pStyle w:val="6"/>
        <w:shd w:val="clear" w:color="auto" w:fill="FFFFFF"/>
        <w:spacing w:line="600" w:lineRule="exact"/>
        <w:ind w:firstLine="640" w:firstLineChars="200"/>
        <w:rPr>
          <w:rStyle w:val="10"/>
          <w:rFonts w:hint="default" w:ascii="方正黑体_GBK" w:hAnsi="方正黑体_GBK" w:eastAsia="方正黑体_GBK" w:cs="方正黑体_GBK"/>
          <w:b w:val="0"/>
          <w:bCs/>
          <w:sz w:val="32"/>
          <w:szCs w:val="32"/>
          <w:shd w:val="clear" w:color="auto" w:fill="FFFFFF"/>
        </w:rPr>
      </w:pPr>
      <w:r>
        <w:rPr>
          <w:rStyle w:val="10"/>
          <w:rFonts w:ascii="方正黑体_GBK" w:hAnsi="方正黑体_GBK" w:eastAsia="方正黑体_GBK" w:cs="方正黑体_GBK"/>
          <w:b w:val="0"/>
          <w:bCs/>
          <w:sz w:val="32"/>
          <w:szCs w:val="32"/>
          <w:shd w:val="clear" w:color="auto" w:fill="FFFFFF"/>
        </w:rPr>
        <w:t>五、2024年度预算绩效管理情况说明</w:t>
      </w:r>
    </w:p>
    <w:p>
      <w:pPr>
        <w:pStyle w:val="11"/>
        <w:autoSpaceDE w:val="0"/>
        <w:spacing w:line="600" w:lineRule="exact"/>
        <w:ind w:firstLine="643"/>
        <w:rPr>
          <w:rFonts w:ascii="方正楷体_GBK" w:hAnsi="楷体" w:eastAsia="方正楷体_GBK" w:cs="楷体"/>
          <w:b/>
          <w:bCs/>
          <w:color w:val="000000"/>
          <w:sz w:val="32"/>
          <w:szCs w:val="32"/>
          <w:shd w:val="clear" w:color="auto" w:fill="FFFFFF"/>
          <w:lang w:bidi="ar"/>
        </w:rPr>
      </w:pPr>
      <w:r>
        <w:rPr>
          <w:rFonts w:hint="eastAsia" w:ascii="方正楷体_GBK" w:hAnsi="楷体" w:eastAsia="方正楷体_GBK" w:cs="楷体"/>
          <w:b/>
          <w:bCs/>
          <w:color w:val="000000"/>
          <w:sz w:val="32"/>
          <w:szCs w:val="32"/>
          <w:shd w:val="clear" w:color="auto" w:fill="FFFFFF"/>
          <w:lang w:bidi="ar"/>
        </w:rPr>
        <w:t>（一）单位自评情况</w:t>
      </w:r>
    </w:p>
    <w:p>
      <w:pPr>
        <w:pStyle w:val="12"/>
        <w:autoSpaceDE w:val="0"/>
        <w:spacing w:before="0" w:beforeAutospacing="0" w:line="600" w:lineRule="exact"/>
        <w:ind w:firstLine="640" w:firstLineChars="200"/>
        <w:rPr>
          <w:rFonts w:ascii="方正仿宋_GBK" w:eastAsia="方正仿宋_GBK"/>
          <w:bCs/>
          <w:color w:val="000000"/>
          <w:sz w:val="32"/>
          <w:szCs w:val="32"/>
        </w:rPr>
        <w:sectPr>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color w:val="000000"/>
          <w:sz w:val="32"/>
          <w:szCs w:val="32"/>
          <w:shd w:val="clear" w:color="auto" w:fill="FFFFFF"/>
        </w:rPr>
        <w:t>根据预算绩效管理要求，我单位对</w:t>
      </w:r>
      <w:r>
        <w:rPr>
          <w:rFonts w:ascii="方正仿宋_GBK" w:hAnsi="方正仿宋_GBK" w:eastAsia="方正仿宋_GBK" w:cs="方正仿宋_GBK"/>
          <w:color w:val="000000"/>
          <w:sz w:val="32"/>
          <w:szCs w:val="32"/>
          <w:shd w:val="clear" w:color="auto" w:fill="FFFFFF"/>
        </w:rPr>
        <w:t>1</w:t>
      </w:r>
      <w:r>
        <w:rPr>
          <w:rFonts w:hint="eastAsia" w:ascii="方正仿宋_GBK" w:hAnsi="方正仿宋_GBK" w:eastAsia="方正仿宋_GBK" w:cs="方正仿宋_GBK"/>
          <w:color w:val="000000"/>
          <w:sz w:val="32"/>
          <w:szCs w:val="32"/>
          <w:shd w:val="clear" w:color="auto" w:fill="FFFFFF"/>
        </w:rPr>
        <w:t>3个二级项目开展了绩效自评，涉及财政拨款项目支出资金66.38万元。</w:t>
      </w:r>
    </w:p>
    <w:p>
      <w:pPr>
        <w:rPr>
          <w:rFonts w:hint="default" w:ascii="楷体" w:hAnsi="楷体" w:eastAsia="楷体" w:cs="宋体"/>
          <w:b/>
          <w:bCs/>
          <w:color w:val="000000"/>
          <w:sz w:val="32"/>
          <w:szCs w:val="32"/>
          <w:shd w:val="clear" w:color="auto" w:fill="FFFFFF"/>
        </w:rPr>
        <w:sectPr>
          <w:pgSz w:w="11915" w:h="16840"/>
          <w:pgMar w:top="1440" w:right="1800" w:bottom="1440" w:left="1800" w:header="851" w:footer="992" w:gutter="0"/>
          <w:pgNumType w:fmt="numberInDash"/>
          <w:cols w:space="720" w:num="1"/>
          <w:docGrid w:type="lines" w:linePitch="312" w:charSpace="0"/>
        </w:sectPr>
      </w:pPr>
      <w:r>
        <w:drawing>
          <wp:inline distT="0" distB="0" distL="114300" distR="114300">
            <wp:extent cx="5393055" cy="4798060"/>
            <wp:effectExtent l="0" t="0" r="7620" b="254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7"/>
                    <a:stretch>
                      <a:fillRect/>
                    </a:stretch>
                  </pic:blipFill>
                  <pic:spPr>
                    <a:xfrm>
                      <a:off x="0" y="0"/>
                      <a:ext cx="5393055" cy="4798060"/>
                    </a:xfrm>
                    <a:prstGeom prst="rect">
                      <a:avLst/>
                    </a:prstGeom>
                    <a:noFill/>
                    <a:ln>
                      <a:noFill/>
                    </a:ln>
                  </pic:spPr>
                </pic:pic>
              </a:graphicData>
            </a:graphic>
          </wp:inline>
        </w:drawing>
      </w:r>
      <w:r>
        <w:drawing>
          <wp:inline distT="0" distB="0" distL="114300" distR="114300">
            <wp:extent cx="5382895" cy="4946015"/>
            <wp:effectExtent l="0" t="0" r="8255" b="698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5382895" cy="4946015"/>
                    </a:xfrm>
                    <a:prstGeom prst="rect">
                      <a:avLst/>
                    </a:prstGeom>
                    <a:noFill/>
                    <a:ln>
                      <a:noFill/>
                    </a:ln>
                  </pic:spPr>
                </pic:pic>
              </a:graphicData>
            </a:graphic>
          </wp:inline>
        </w:drawing>
      </w:r>
    </w:p>
    <w:p>
      <w:pPr>
        <w:pStyle w:val="11"/>
        <w:ind w:firstLine="643"/>
        <w:rPr>
          <w:rFonts w:ascii="方正楷体_GBK" w:hAnsi="楷体" w:eastAsia="方正楷体_GBK" w:cs="楷体"/>
          <w:b/>
          <w:bCs/>
          <w:color w:val="000000"/>
          <w:sz w:val="32"/>
          <w:szCs w:val="32"/>
          <w:shd w:val="clear" w:color="auto" w:fill="FFFFFF"/>
        </w:rPr>
      </w:pPr>
      <w:r>
        <w:rPr>
          <w:rFonts w:hint="eastAsia" w:ascii="方正楷体_GBK" w:hAnsi="楷体" w:eastAsia="方正楷体_GBK" w:cs="楷体"/>
          <w:b/>
          <w:bCs/>
          <w:color w:val="000000"/>
          <w:sz w:val="32"/>
          <w:szCs w:val="32"/>
          <w:shd w:val="clear" w:color="auto" w:fill="FFFFFF"/>
        </w:rPr>
        <w:t>（二）单位绩效评价情况</w:t>
      </w:r>
    </w:p>
    <w:p>
      <w:pPr>
        <w:pStyle w:val="11"/>
        <w:ind w:firstLine="640"/>
        <w:rPr>
          <w:rFonts w:ascii="方正仿宋_GBK" w:eastAsia="方正仿宋_GBK"/>
          <w:color w:val="000000"/>
          <w:sz w:val="32"/>
          <w:szCs w:val="32"/>
          <w:shd w:val="clear" w:color="auto" w:fill="FFFFFF"/>
        </w:rPr>
      </w:pPr>
      <w:r>
        <w:rPr>
          <w:rFonts w:hint="eastAsia" w:ascii="方正仿宋_GBK" w:eastAsia="方正仿宋_GBK"/>
          <w:color w:val="000000"/>
          <w:sz w:val="32"/>
          <w:szCs w:val="32"/>
          <w:shd w:val="clear" w:color="auto" w:fill="FFFFFF"/>
        </w:rPr>
        <w:t>我单位未组织开展绩效评价。</w:t>
      </w:r>
    </w:p>
    <w:p>
      <w:pPr>
        <w:pStyle w:val="11"/>
        <w:ind w:firstLine="643"/>
        <w:rPr>
          <w:rFonts w:ascii="方正楷体_GBK" w:hAnsi="楷体" w:eastAsia="方正楷体_GBK" w:cs="楷体"/>
          <w:b/>
          <w:bCs/>
          <w:color w:val="000000"/>
          <w:sz w:val="32"/>
          <w:szCs w:val="32"/>
          <w:shd w:val="clear" w:color="auto" w:fill="FFFFFF"/>
        </w:rPr>
      </w:pPr>
      <w:r>
        <w:rPr>
          <w:rFonts w:hint="eastAsia" w:ascii="方正楷体_GBK" w:hAnsi="楷体" w:eastAsia="方正楷体_GBK" w:cs="楷体"/>
          <w:b/>
          <w:bCs/>
          <w:color w:val="000000"/>
          <w:sz w:val="32"/>
          <w:szCs w:val="32"/>
          <w:shd w:val="clear" w:color="auto" w:fill="FFFFFF"/>
        </w:rPr>
        <w:t>（三）财政绩效评价情况</w:t>
      </w:r>
    </w:p>
    <w:p>
      <w:pPr>
        <w:pStyle w:val="11"/>
        <w:autoSpaceDE w:val="0"/>
        <w:ind w:firstLine="640"/>
        <w:rPr>
          <w:rFonts w:ascii="方正仿宋_GBK" w:hAnsi="方正仿宋_GBK" w:eastAsia="方正仿宋_GBK" w:cs="方正仿宋_GBK"/>
          <w:color w:val="000000"/>
          <w:sz w:val="32"/>
          <w:szCs w:val="32"/>
          <w:shd w:val="clear" w:color="auto" w:fill="FFFFFF"/>
        </w:rPr>
      </w:pPr>
      <w:r>
        <w:rPr>
          <w:rFonts w:hint="eastAsia" w:ascii="方正仿宋_GBK" w:hAnsi="方正仿宋_GBK" w:eastAsia="方正仿宋_GBK" w:cs="方正仿宋_GBK"/>
          <w:color w:val="000000"/>
          <w:sz w:val="32"/>
          <w:szCs w:val="32"/>
          <w:shd w:val="clear" w:color="auto" w:fill="FFFFFF"/>
        </w:rPr>
        <w:t>县财政局未委托第三方对我单位开展绩效评价。</w:t>
      </w:r>
    </w:p>
    <w:p>
      <w:pPr>
        <w:pStyle w:val="6"/>
        <w:shd w:val="clear" w:color="auto" w:fill="FFFFFF"/>
        <w:ind w:firstLine="640" w:firstLineChars="200"/>
        <w:rPr>
          <w:rStyle w:val="10"/>
          <w:rFonts w:hint="default" w:ascii="方正黑体_GBK" w:hAnsi="方正黑体_GBK" w:eastAsia="方正黑体_GBK" w:cs="方正黑体_GBK"/>
          <w:b w:val="0"/>
          <w:bCs/>
          <w:sz w:val="32"/>
          <w:szCs w:val="32"/>
          <w:shd w:val="clear" w:color="auto" w:fill="FFFFFF"/>
        </w:rPr>
      </w:pPr>
      <w:r>
        <w:rPr>
          <w:rStyle w:val="10"/>
          <w:rFonts w:ascii="方正黑体_GBK" w:hAnsi="方正黑体_GBK" w:eastAsia="方正黑体_GBK" w:cs="方正黑体_GBK"/>
          <w:b w:val="0"/>
          <w:bCs/>
          <w:sz w:val="32"/>
          <w:szCs w:val="32"/>
          <w:shd w:val="clear" w:color="auto" w:fill="FFFFFF"/>
        </w:rPr>
        <w:t>六、专业名词解释</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楷体_GBK" w:hAnsi="方正楷体_GBK" w:eastAsia="方正楷体_GBK" w:cs="方正楷体_GBK"/>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楷体_GBK" w:hAnsi="方正楷体_GBK" w:eastAsia="方正楷体_GBK" w:cs="方正楷体_GBK"/>
          <w:b/>
          <w:bCs/>
          <w:sz w:val="32"/>
          <w:szCs w:val="32"/>
          <w:shd w:val="clear" w:color="auto" w:fill="FFFFFF"/>
        </w:rPr>
        <w:t>（二）事业收入：</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楷体_GBK" w:hAnsi="方正楷体_GBK" w:eastAsia="方正楷体_GBK" w:cs="方正楷体_GBK"/>
          <w:b/>
          <w:bCs/>
          <w:sz w:val="32"/>
          <w:szCs w:val="32"/>
          <w:shd w:val="clear" w:color="auto" w:fill="FFFFFF"/>
        </w:rPr>
        <w:t>（三）经营收入：</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楷体_GBK" w:hAnsi="方正楷体_GBK" w:eastAsia="方正楷体_GBK" w:cs="方正楷体_GBK"/>
          <w:b/>
          <w:bCs/>
          <w:sz w:val="32"/>
          <w:szCs w:val="32"/>
          <w:shd w:val="clear" w:color="auto" w:fill="FFFFFF"/>
        </w:rPr>
        <w:t>（四）其他收入：</w:t>
      </w:r>
      <w:r>
        <w:rPr>
          <w:rFonts w:ascii="方正仿宋_GBK" w:hAnsi="方正仿宋_GBK" w:eastAsia="方正仿宋_GBK" w:cs="方正仿宋_GBK"/>
          <w:sz w:val="32"/>
          <w:szCs w:val="32"/>
          <w:shd w:val="clear" w:color="auto" w:fill="FFFFFF"/>
        </w:rPr>
        <w:t>指单位取得的除“财政拨款收入”</w:t>
      </w:r>
      <w:bookmarkStart w:id="0" w:name="_GoBack"/>
      <w:bookmarkEnd w:id="0"/>
      <w:r>
        <w:rPr>
          <w:rFonts w:ascii="方正仿宋_GBK" w:hAnsi="方正仿宋_GBK" w:eastAsia="方正仿宋_GBK" w:cs="方正仿宋_GBK"/>
          <w:sz w:val="32"/>
          <w:szCs w:val="32"/>
          <w:shd w:val="clear" w:color="auto" w:fill="FFFFFF"/>
        </w:rPr>
        <w:t>“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楷体_GBK" w:hAnsi="方正楷体_GBK" w:eastAsia="方正楷体_GBK" w:cs="方正楷体_GBK"/>
          <w:b/>
          <w:bCs/>
          <w:sz w:val="32"/>
          <w:szCs w:val="32"/>
          <w:shd w:val="clear" w:color="auto" w:fill="FFFFFF"/>
        </w:rPr>
        <w:t>（五）使用非财政拨款结余：</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楷体_GBK" w:hAnsi="方正楷体_GBK" w:eastAsia="方正楷体_GBK" w:cs="方正楷体_GBK"/>
          <w:b/>
          <w:bCs/>
          <w:sz w:val="32"/>
          <w:szCs w:val="32"/>
          <w:shd w:val="clear" w:color="auto" w:fill="FFFFFF"/>
        </w:rPr>
        <w:t>（六）年初结转和结余：</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楷体_GBK" w:hAnsi="方正楷体_GBK" w:eastAsia="方正楷体_GBK" w:cs="方正楷体_GBK"/>
          <w:b/>
          <w:bCs/>
          <w:sz w:val="32"/>
          <w:szCs w:val="32"/>
          <w:shd w:val="clear" w:color="auto" w:fill="FFFFFF"/>
        </w:rPr>
        <w:t>（七）结余分配：</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楷体_GBK" w:hAnsi="方正楷体_GBK" w:eastAsia="方正楷体_GBK" w:cs="方正楷体_GBK"/>
          <w:b/>
          <w:bCs/>
          <w:sz w:val="32"/>
          <w:szCs w:val="32"/>
          <w:shd w:val="clear" w:color="auto" w:fill="FFFFFF"/>
        </w:rPr>
        <w:t>（八）年末结转和结余：</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楷体_GBK" w:hAnsi="方正楷体_GBK" w:eastAsia="方正楷体_GBK" w:cs="方正楷体_GBK"/>
          <w:b/>
          <w:bCs/>
          <w:sz w:val="32"/>
          <w:szCs w:val="32"/>
          <w:shd w:val="clear" w:color="auto" w:fill="FFFFFF"/>
        </w:rPr>
        <w:t>（九）基本支出：</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楷体_GBK" w:hAnsi="方正楷体_GBK" w:eastAsia="方正楷体_GBK" w:cs="方正楷体_GBK"/>
          <w:b/>
          <w:bCs/>
          <w:sz w:val="32"/>
          <w:szCs w:val="32"/>
          <w:shd w:val="clear" w:color="auto" w:fill="FFFFFF"/>
        </w:rPr>
        <w:t>（十）项目支出：</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楷体_GBK" w:hAnsi="方正楷体_GBK" w:eastAsia="方正楷体_GBK" w:cs="方正楷体_GBK"/>
          <w:b/>
          <w:bCs/>
          <w:sz w:val="32"/>
          <w:szCs w:val="32"/>
          <w:shd w:val="clear" w:color="auto" w:fill="FFFFFF"/>
        </w:rPr>
        <w:t>（十一）经营支出：</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楷体_GBK" w:hAnsi="方正楷体_GBK" w:eastAsia="方正楷体_GBK" w:cs="方正楷体_GBK"/>
          <w:b/>
          <w:bCs/>
          <w:sz w:val="32"/>
          <w:szCs w:val="32"/>
          <w:shd w:val="clear" w:color="auto" w:fill="FFFFFF"/>
        </w:rPr>
        <w:t>（十二）“三公”经费：</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楷体_GBK" w:hAnsi="方正楷体_GBK" w:eastAsia="方正楷体_GBK" w:cs="方正楷体_GBK"/>
          <w:b/>
          <w:bCs/>
          <w:sz w:val="32"/>
          <w:szCs w:val="32"/>
          <w:shd w:val="clear" w:color="auto" w:fill="FFFFFF"/>
        </w:rPr>
        <w:t>（十三）机关运行经费：</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楷体_GBK" w:hAnsi="方正楷体_GBK" w:eastAsia="方正楷体_GBK" w:cs="方正楷体_GBK"/>
          <w:b/>
          <w:bCs/>
          <w:sz w:val="32"/>
          <w:szCs w:val="32"/>
          <w:shd w:val="clear" w:color="auto" w:fill="FFFFFF"/>
        </w:rPr>
        <w:t>（十四）工资福利支出（支出经济分类科目类级）：</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楷体_GBK" w:hAnsi="方正楷体_GBK" w:eastAsia="方正楷体_GBK" w:cs="方正楷体_GBK"/>
          <w:b/>
          <w:bCs/>
          <w:sz w:val="32"/>
          <w:szCs w:val="32"/>
          <w:shd w:val="clear" w:color="auto" w:fill="FFFFFF"/>
        </w:rPr>
        <w:t>（十五）商品和服务支出（支出经济分类科目类级）：</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楷体_GBK" w:hAnsi="方正楷体_GBK" w:eastAsia="方正楷体_GBK" w:cs="方正楷体_GBK"/>
          <w:b/>
          <w:bCs/>
          <w:sz w:val="32"/>
          <w:szCs w:val="32"/>
          <w:shd w:val="clear" w:color="auto" w:fill="FFFFFF"/>
        </w:rPr>
        <w:t>（十六）对个人和家庭的补助（支出经济分类科目类级）：</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楷体_GBK" w:hAnsi="方正楷体_GBK" w:eastAsia="方正楷体_GBK" w:cs="方正楷体_GBK"/>
          <w:b/>
          <w:bCs/>
          <w:sz w:val="32"/>
          <w:szCs w:val="32"/>
          <w:shd w:val="clear" w:color="auto" w:fill="FFFFFF"/>
        </w:rPr>
        <w:t>（十七）其他资本性支出（支出经济分类科目类级）：</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七、决算公开联系方式及信息反馈渠道</w:t>
      </w:r>
    </w:p>
    <w:p>
      <w:pPr>
        <w:pStyle w:val="11"/>
        <w:autoSpaceDE w:val="0"/>
        <w:ind w:firstLine="64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pPr>
        <w:pStyle w:val="11"/>
        <w:autoSpaceDE w:val="0"/>
        <w:ind w:firstLine="640"/>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sz w:val="32"/>
          <w:szCs w:val="32"/>
          <w:shd w:val="clear" w:color="auto" w:fill="FFFFFF"/>
        </w:rPr>
        <w:t>龙老师   023-74549993</w:t>
      </w:r>
    </w:p>
    <w:tbl>
      <w:tblPr>
        <w:tblStyle w:val="7"/>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tblPrEx>
          <w:tblLayout w:type="fixed"/>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71"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rPr>
              <w:t>垫江县金华小学校</w:t>
            </w: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774.97</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40.56</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499.98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71"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14.42</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250.54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40.56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26.78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834.47</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840.28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5.81</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5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840.28</w:t>
            </w:r>
            <w:r>
              <w:rPr>
                <w:rFonts w:ascii="Times New Roman" w:hAnsi="Times New Roman"/>
                <w:color w:val="000000"/>
                <w:sz w:val="20"/>
              </w:rPr>
              <w:t xml:space="preserve"> </w:t>
            </w:r>
          </w:p>
        </w:tc>
        <w:tc>
          <w:tcPr>
            <w:tcW w:w="4059"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840.28</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59" w:type="dxa"/>
        <w:tblInd w:w="0" w:type="dxa"/>
        <w:tblLayout w:type="fixed"/>
        <w:tblCellMar>
          <w:top w:w="0" w:type="dxa"/>
          <w:left w:w="0" w:type="dxa"/>
          <w:bottom w:w="0" w:type="dxa"/>
          <w:right w:w="0" w:type="dxa"/>
        </w:tblCellMar>
      </w:tblPr>
      <w:tblGrid>
        <w:gridCol w:w="1637"/>
        <w:gridCol w:w="3630"/>
        <w:gridCol w:w="1266"/>
        <w:gridCol w:w="1325"/>
        <w:gridCol w:w="1144"/>
        <w:gridCol w:w="1145"/>
        <w:gridCol w:w="1279"/>
        <w:gridCol w:w="1217"/>
        <w:gridCol w:w="1351"/>
        <w:gridCol w:w="1565"/>
      </w:tblGrid>
      <w:tr>
        <w:tblPrEx>
          <w:tblLayout w:type="fixed"/>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6533"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rPr>
              <w:t>垫江县金华小学校</w:t>
            </w:r>
          </w:p>
        </w:tc>
        <w:tc>
          <w:tcPr>
            <w:tcW w:w="132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4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4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7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1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6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6533"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4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4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7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1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6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12" w:hRule="exact"/>
        </w:trPr>
        <w:tc>
          <w:tcPr>
            <w:tcW w:w="526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2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1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4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5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12" w:hRule="exac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2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12"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12"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12"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12" w:hRule="exact"/>
        </w:trPr>
        <w:tc>
          <w:tcPr>
            <w:tcW w:w="52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2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834.47</w:t>
            </w:r>
            <w:r>
              <w:rPr>
                <w:rFonts w:ascii="Times New Roman" w:hAnsi="Times New Roman"/>
                <w:b/>
                <w:color w:val="000000"/>
                <w:sz w:val="20"/>
              </w:rPr>
              <w:t xml:space="preserve"> </w:t>
            </w:r>
          </w:p>
        </w:tc>
        <w:tc>
          <w:tcPr>
            <w:tcW w:w="13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815.52</w:t>
            </w:r>
            <w:r>
              <w:rPr>
                <w:rFonts w:ascii="Times New Roman" w:hAnsi="Times New Roman"/>
                <w:b/>
                <w:color w:val="000000"/>
                <w:sz w:val="20"/>
              </w:rPr>
              <w:t xml:space="preserve"> </w:t>
            </w:r>
          </w:p>
        </w:tc>
        <w:tc>
          <w:tcPr>
            <w:tcW w:w="11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4.53</w:t>
            </w:r>
            <w:r>
              <w:rPr>
                <w:rFonts w:ascii="Times New Roman" w:hAnsi="Times New Roman"/>
                <w:b/>
                <w:color w:val="000000"/>
                <w:sz w:val="20"/>
              </w:rPr>
              <w:t xml:space="preserve"> </w:t>
            </w:r>
          </w:p>
        </w:tc>
        <w:tc>
          <w:tcPr>
            <w:tcW w:w="12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4.53</w:t>
            </w:r>
            <w:r>
              <w:rPr>
                <w:rFonts w:ascii="Times New Roman" w:hAnsi="Times New Roman"/>
                <w:b/>
                <w:color w:val="000000"/>
                <w:sz w:val="20"/>
              </w:rPr>
              <w:t xml:space="preserve"> </w:t>
            </w:r>
          </w:p>
        </w:tc>
        <w:tc>
          <w:tcPr>
            <w:tcW w:w="1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5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14.42</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494.18</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475.23</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14.42</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493.04</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474.09</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14.42</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10.41</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5.87</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482.63</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468.22</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250.54</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250.54</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250.54</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250.54</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56.03</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56.03</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28.05</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28.05</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166.45</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166.45</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22.42</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22.42</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22.42</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22.42</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22.42</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22.42</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40.56</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40.56</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40.56</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40.56</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40.56</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40.56</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26.78</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26.78</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26.78</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26.78</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26.78</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26.78</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p>
    <w:tbl>
      <w:tblPr>
        <w:tblStyle w:val="7"/>
        <w:tblW w:w="15378" w:type="dxa"/>
        <w:tblInd w:w="0" w:type="dxa"/>
        <w:tblLayout w:type="fixed"/>
        <w:tblCellMar>
          <w:top w:w="0" w:type="dxa"/>
          <w:left w:w="0" w:type="dxa"/>
          <w:bottom w:w="0" w:type="dxa"/>
          <w:right w:w="0" w:type="dxa"/>
        </w:tblCellMar>
      </w:tblPr>
      <w:tblGrid>
        <w:gridCol w:w="1637"/>
        <w:gridCol w:w="3630"/>
        <w:gridCol w:w="1637"/>
        <w:gridCol w:w="1686"/>
        <w:gridCol w:w="1619"/>
        <w:gridCol w:w="1552"/>
        <w:gridCol w:w="1687"/>
        <w:gridCol w:w="1930"/>
      </w:tblGrid>
      <w:tr>
        <w:tblPrEx>
          <w:tblLayout w:type="fixed"/>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904"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垫江县金华小学校 </w:t>
            </w:r>
          </w:p>
        </w:tc>
        <w:tc>
          <w:tcPr>
            <w:tcW w:w="168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1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8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3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904"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8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1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8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3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12" w:hRule="exact"/>
        </w:trPr>
        <w:tc>
          <w:tcPr>
            <w:tcW w:w="52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6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12" w:hRule="exac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12"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12"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12"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12" w:hRule="exact"/>
        </w:trPr>
        <w:tc>
          <w:tcPr>
            <w:tcW w:w="52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840.28</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732.61</w:t>
            </w:r>
            <w:r>
              <w:rPr>
                <w:rFonts w:ascii="Times New Roman" w:hAnsi="Times New Roman"/>
                <w:b/>
                <w:color w:val="000000"/>
                <w:sz w:val="20"/>
              </w:rPr>
              <w:t xml:space="preserve"> </w:t>
            </w:r>
          </w:p>
        </w:tc>
        <w:tc>
          <w:tcPr>
            <w:tcW w:w="16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107.67</w:t>
            </w:r>
            <w:r>
              <w:rPr>
                <w:rFonts w:ascii="Times New Roman" w:hAnsi="Times New Roman"/>
                <w:b/>
                <w:color w:val="000000"/>
                <w:sz w:val="20"/>
              </w:rPr>
              <w:t xml:space="preserve"> </w:t>
            </w:r>
          </w:p>
        </w:tc>
        <w:tc>
          <w:tcPr>
            <w:tcW w:w="1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499.98</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433.27</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66.71</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498.85</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432.14</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66.71</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13.66</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7.71</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5.95</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485.19</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424.43</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60.76</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250.54</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250.14</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0.40</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250.54</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250.14</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0.40</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56.03</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56.03</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28.05</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28.05</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166.45</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166.05</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22.42</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22.42</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22.42</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22.42</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22.42</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22.42</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40.56</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40.56</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40.56</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40.56</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40.56</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40.56</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26.78</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26.78</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26.78</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26.78</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26.78</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26.78</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p>
    <w:p>
      <w:pPr>
        <w:rPr>
          <w:rFonts w:hint="default" w:cs="宋体"/>
          <w:sz w:val="21"/>
          <w:szCs w:val="21"/>
        </w:rPr>
      </w:pPr>
    </w:p>
    <w:tbl>
      <w:tblPr>
        <w:tblStyle w:val="7"/>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tblPrEx>
          <w:tblLayout w:type="fixed"/>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垫江县金华小学校</w:t>
            </w: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774.97</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40.56</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475.23</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475.23</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250.54</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250.54</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22.42</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22.42</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40.56</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40.56</w:t>
            </w: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26.78</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26.78</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815.52</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815.52</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774.97</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40.56</w:t>
            </w: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815.52</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815.52</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774.97</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40.56</w:t>
            </w: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492"/>
        <w:gridCol w:w="3909"/>
        <w:gridCol w:w="3319"/>
        <w:gridCol w:w="3312"/>
        <w:gridCol w:w="3346"/>
      </w:tblGrid>
      <w:tr>
        <w:tblPrEx>
          <w:tblLayout w:type="fixed"/>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720"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垫江县金华小学校</w:t>
            </w:r>
          </w:p>
        </w:tc>
        <w:tc>
          <w:tcPr>
            <w:tcW w:w="33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72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4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7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9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40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774.97</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708.58</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66.38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475.23</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409.24</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65.98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474.09</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408.10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65.98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5.87</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468.22</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408.10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60.11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250.54</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250.14</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250.54</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250.14</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56.03</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56.03</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28.05</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28.05</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166.45</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166.05</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22.42</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22.42</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22.42</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22.42</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22.42</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22.42</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26.78</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26.78</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26.78</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26.78</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26.78</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26.78</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tblPrEx>
          <w:tblLayout w:type="fixed"/>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80"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垫江县金华小学校</w:t>
            </w: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80"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528.51</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14.02</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120.61</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19.05</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250.32</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56.03</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28.05</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22.42</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0.77</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26.78</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4.48</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166.05</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146.97</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8.60</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3.46</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10.49</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9.41</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4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694.56</w:t>
            </w:r>
            <w:r>
              <w:rPr>
                <w:rFonts w:ascii="Times New Roman" w:hAnsi="Times New Roman"/>
                <w:color w:val="000000"/>
                <w:sz w:val="18"/>
              </w:rPr>
              <w:t xml:space="preserve"> </w:t>
            </w:r>
          </w:p>
        </w:tc>
        <w:tc>
          <w:tcPr>
            <w:tcW w:w="8750"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14.02</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594"/>
        <w:gridCol w:w="3630"/>
        <w:gridCol w:w="1659"/>
        <w:gridCol w:w="1659"/>
        <w:gridCol w:w="1659"/>
        <w:gridCol w:w="1660"/>
        <w:gridCol w:w="1725"/>
        <w:gridCol w:w="1792"/>
      </w:tblGrid>
      <w:tr>
        <w:tblPrEx>
          <w:tblLayout w:type="fixed"/>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883"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垫江县金华小学校</w:t>
            </w:r>
          </w:p>
        </w:tc>
        <w:tc>
          <w:tcPr>
            <w:tcW w:w="16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2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92"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883"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2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92"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52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659"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6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0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7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5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5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6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2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7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5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5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6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5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5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6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522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40.56</w:t>
            </w:r>
            <w:r>
              <w:rPr>
                <w:rFonts w:ascii="Times New Roman" w:hAnsi="Times New Roman"/>
                <w:b/>
                <w:color w:val="000000"/>
                <w:sz w:val="20"/>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40.56</w:t>
            </w:r>
            <w:r>
              <w:rPr>
                <w:rFonts w:ascii="Times New Roman" w:hAnsi="Times New Roman"/>
                <w:b/>
                <w:color w:val="000000"/>
                <w:sz w:val="20"/>
              </w:rPr>
              <w:t xml:space="preserve"> </w:t>
            </w:r>
          </w:p>
        </w:tc>
        <w:tc>
          <w:tcPr>
            <w:tcW w:w="1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40.56</w:t>
            </w:r>
            <w:r>
              <w:rPr>
                <w:rFonts w:ascii="Times New Roman" w:hAnsi="Times New Roman"/>
                <w:b/>
                <w:color w:val="000000"/>
                <w:sz w:val="20"/>
              </w:rPr>
              <w:t xml:space="preserve"> </w:t>
            </w:r>
          </w:p>
        </w:tc>
        <w:tc>
          <w:tcPr>
            <w:tcW w:w="17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5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40.56</w:t>
            </w:r>
            <w:r>
              <w:rPr>
                <w:rFonts w:ascii="Times New Roman" w:hAnsi="Times New Roman"/>
                <w:b/>
                <w:color w:val="000000"/>
                <w:sz w:val="20"/>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40.56</w:t>
            </w:r>
            <w:r>
              <w:rPr>
                <w:rFonts w:ascii="Times New Roman" w:hAnsi="Times New Roman"/>
                <w:b/>
                <w:color w:val="000000"/>
                <w:sz w:val="20"/>
              </w:rPr>
              <w:t xml:space="preserve"> </w:t>
            </w:r>
          </w:p>
        </w:tc>
        <w:tc>
          <w:tcPr>
            <w:tcW w:w="1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40.56</w:t>
            </w:r>
            <w:r>
              <w:rPr>
                <w:rFonts w:ascii="Times New Roman" w:hAnsi="Times New Roman"/>
                <w:b/>
                <w:color w:val="000000"/>
                <w:sz w:val="20"/>
              </w:rPr>
              <w:t xml:space="preserve"> </w:t>
            </w:r>
          </w:p>
        </w:tc>
        <w:tc>
          <w:tcPr>
            <w:tcW w:w="17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5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40.56</w:t>
            </w:r>
            <w:r>
              <w:rPr>
                <w:rFonts w:ascii="Times New Roman" w:hAnsi="Times New Roman"/>
                <w:b/>
                <w:color w:val="000000"/>
                <w:sz w:val="20"/>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40.56</w:t>
            </w:r>
            <w:r>
              <w:rPr>
                <w:rFonts w:ascii="Times New Roman" w:hAnsi="Times New Roman"/>
                <w:b/>
                <w:color w:val="000000"/>
                <w:sz w:val="20"/>
              </w:rPr>
              <w:t xml:space="preserve"> </w:t>
            </w:r>
          </w:p>
        </w:tc>
        <w:tc>
          <w:tcPr>
            <w:tcW w:w="1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40.56</w:t>
            </w:r>
            <w:r>
              <w:rPr>
                <w:rFonts w:ascii="Times New Roman" w:hAnsi="Times New Roman"/>
                <w:b/>
                <w:color w:val="000000"/>
                <w:sz w:val="20"/>
              </w:rPr>
              <w:t xml:space="preserve"> </w:t>
            </w:r>
          </w:p>
        </w:tc>
        <w:tc>
          <w:tcPr>
            <w:tcW w:w="17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5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其他国有土地使用权出让收入安排的支出</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40.56</w:t>
            </w:r>
            <w:r>
              <w:rPr>
                <w:rFonts w:ascii="Times New Roman" w:hAnsi="Times New Roman"/>
                <w:color w:val="000000"/>
                <w:sz w:val="20"/>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40.56</w:t>
            </w:r>
            <w:r>
              <w:rPr>
                <w:rFonts w:ascii="Times New Roman" w:hAnsi="Times New Roman"/>
                <w:color w:val="000000"/>
                <w:sz w:val="20"/>
              </w:rPr>
              <w:t xml:space="preserve"> </w:t>
            </w:r>
          </w:p>
        </w:tc>
        <w:tc>
          <w:tcPr>
            <w:tcW w:w="1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40.56</w:t>
            </w:r>
            <w:r>
              <w:rPr>
                <w:rFonts w:ascii="Times New Roman" w:hAnsi="Times New Roman"/>
                <w:color w:val="000000"/>
                <w:sz w:val="20"/>
              </w:rPr>
              <w:t xml:space="preserve"> </w:t>
            </w:r>
          </w:p>
        </w:tc>
        <w:tc>
          <w:tcPr>
            <w:tcW w:w="17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2008"/>
        <w:gridCol w:w="2928"/>
        <w:gridCol w:w="3276"/>
        <w:gridCol w:w="200"/>
        <w:gridCol w:w="3475"/>
        <w:gridCol w:w="77"/>
        <w:gridCol w:w="3414"/>
      </w:tblGrid>
      <w:tr>
        <w:tblPrEx>
          <w:tblLayout w:type="fixed"/>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垫江县金华小学校</w:t>
            </w: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91"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488" w:hRule="atLeast"/>
        </w:trPr>
        <w:tc>
          <w:tcPr>
            <w:tcW w:w="20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82" w:type="dxa"/>
        <w:tblInd w:w="0" w:type="dxa"/>
        <w:tblLayout w:type="fixed"/>
        <w:tblCellMar>
          <w:top w:w="0" w:type="dxa"/>
          <w:left w:w="170" w:type="dxa"/>
          <w:bottom w:w="0" w:type="dxa"/>
          <w:right w:w="170" w:type="dxa"/>
        </w:tblCellMar>
      </w:tblPr>
      <w:tblGrid>
        <w:gridCol w:w="3190"/>
        <w:gridCol w:w="2425"/>
        <w:gridCol w:w="2384"/>
        <w:gridCol w:w="3687"/>
        <w:gridCol w:w="2496"/>
      </w:tblGrid>
      <w:tr>
        <w:tblPrEx>
          <w:tblLayout w:type="fixed"/>
          <w:tblCellMar>
            <w:top w:w="0" w:type="dxa"/>
            <w:left w:w="170" w:type="dxa"/>
            <w:bottom w:w="0" w:type="dxa"/>
            <w:right w:w="170" w:type="dxa"/>
          </w:tblCellMar>
        </w:tblPrEx>
        <w:trPr>
          <w:trHeight w:val="343" w:hRule="atLeast"/>
        </w:trPr>
        <w:tc>
          <w:tcPr>
            <w:tcW w:w="14182"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90"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25"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84"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7"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6"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61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垫江县金华小学校</w:t>
            </w:r>
          </w:p>
        </w:tc>
        <w:tc>
          <w:tcPr>
            <w:tcW w:w="238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6"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5.35</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5.35</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5.35</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0.25</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86"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1.74</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4.31</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方正黑体_GBK">
    <w:panose1 w:val="02010600010101010101"/>
    <w:charset w:val="86"/>
    <w:family w:val="script"/>
    <w:pitch w:val="default"/>
    <w:sig w:usb0="00000000" w:usb1="00000000" w:usb2="00000000" w:usb3="00000000" w:csb0="00000000" w:csb1="00000000"/>
  </w:font>
  <w:font w:name="仿宋_GB2312">
    <w:altName w:val="仿宋"/>
    <w:panose1 w:val="02010609030101010101"/>
    <w:charset w:val="86"/>
    <w:family w:val="roman"/>
    <w:pitch w:val="default"/>
    <w:sig w:usb0="00000000" w:usb1="00000000" w:usb2="00000000" w:usb3="00000000" w:csb0="00040000" w:csb1="00000000"/>
  </w:font>
  <w:font w:name="方正楷体_GBK">
    <w:panose1 w:val="02000000000000000000"/>
    <w:charset w:val="86"/>
    <w:family w:val="script"/>
    <w:pitch w:val="default"/>
    <w:sig w:usb0="00000000" w:usb1="00000000" w:usb2="00000000" w:usb3="00000000" w:csb0="00000000" w:csb1="00000000"/>
  </w:font>
  <w:font w:name="方正仿宋_GBK">
    <w:panose1 w:val="02000000000000000000"/>
    <w:charset w:val="86"/>
    <w:family w:val="script"/>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24 -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24 -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53493"/>
    <w:rsid w:val="001D3BB7"/>
    <w:rsid w:val="002B254B"/>
    <w:rsid w:val="00466C9B"/>
    <w:rsid w:val="00550ABE"/>
    <w:rsid w:val="00770383"/>
    <w:rsid w:val="007819D4"/>
    <w:rsid w:val="007B419D"/>
    <w:rsid w:val="007B7C4B"/>
    <w:rsid w:val="007D3D39"/>
    <w:rsid w:val="00994AF7"/>
    <w:rsid w:val="009B67B8"/>
    <w:rsid w:val="009D2B67"/>
    <w:rsid w:val="00A566F9"/>
    <w:rsid w:val="00AF2751"/>
    <w:rsid w:val="00B03CCD"/>
    <w:rsid w:val="00BE2B89"/>
    <w:rsid w:val="00C10E9E"/>
    <w:rsid w:val="00C20C3E"/>
    <w:rsid w:val="00CF2ACF"/>
    <w:rsid w:val="00EC2FE4"/>
    <w:rsid w:val="00F73F90"/>
    <w:rsid w:val="00F84E7D"/>
    <w:rsid w:val="00FB4B3B"/>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156E0E"/>
    <w:rsid w:val="0B9335CE"/>
    <w:rsid w:val="0BF2311A"/>
    <w:rsid w:val="0C2A5909"/>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7B00A7"/>
    <w:rsid w:val="19B906A4"/>
    <w:rsid w:val="1B6F15B6"/>
    <w:rsid w:val="1BAA2EDC"/>
    <w:rsid w:val="1BB9783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09658B"/>
    <w:rsid w:val="21556F0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FCA4B37"/>
    <w:rsid w:val="2FE029D7"/>
    <w:rsid w:val="2FF06E00"/>
    <w:rsid w:val="302717D2"/>
    <w:rsid w:val="30586FEC"/>
    <w:rsid w:val="315F0B22"/>
    <w:rsid w:val="31D84415"/>
    <w:rsid w:val="32285F6F"/>
    <w:rsid w:val="32770556"/>
    <w:rsid w:val="329C0913"/>
    <w:rsid w:val="32AA0460"/>
    <w:rsid w:val="3337290D"/>
    <w:rsid w:val="33E31118"/>
    <w:rsid w:val="33EF7674"/>
    <w:rsid w:val="342D7BC6"/>
    <w:rsid w:val="34CD5830"/>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B9A01F8"/>
    <w:rsid w:val="5C263CE4"/>
    <w:rsid w:val="5C5D2777"/>
    <w:rsid w:val="5C992C48"/>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A507561"/>
    <w:rsid w:val="7ADA4EDD"/>
    <w:rsid w:val="7B420052"/>
    <w:rsid w:val="7BD06A28"/>
    <w:rsid w:val="7C3A7C0B"/>
    <w:rsid w:val="7C5248E4"/>
    <w:rsid w:val="7C566698"/>
    <w:rsid w:val="7C5866A3"/>
    <w:rsid w:val="7CC57312"/>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23</Pages>
  <Words>8858</Words>
  <Characters>11598</Characters>
  <Lines>103</Lines>
  <Paragraphs>29</Paragraphs>
  <TotalTime>55</TotalTime>
  <ScaleCrop>false</ScaleCrop>
  <LinksUpToDate>false</LinksUpToDate>
  <CharactersWithSpaces>12700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2025-09-22T08:15:28Z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CC47DEAFD3FC498FAEA6397A398BFCEF_13</vt:lpwstr>
  </property>
  <property fmtid="{D5CDD505-2E9C-101B-9397-08002B2CF9AE}" pid="4" name="KSOTemplateDocerSaveRecord">
    <vt:lpwstr>eyJoZGlkIjoiNjM0Zjk5YTc4NjQ1NmYyOGViZjRkNWIzZWJhYTE3YWEiLCJ1c2VySWQiOiIzODk0NTM2OTAifQ==</vt:lpwstr>
  </property>
</Properties>
</file>