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垫江县桂东小学校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3" w:firstLineChars="200"/>
        <w:rPr>
          <w:rFonts w:eastAsia="方正楷体_GBK"/>
          <w:b/>
          <w:bCs/>
          <w:sz w:val="32"/>
          <w:szCs w:val="32"/>
        </w:rPr>
      </w:pPr>
      <w:r>
        <w:rPr>
          <w:rFonts w:eastAsia="方正楷体_GBK"/>
          <w:b/>
          <w:bCs/>
          <w:sz w:val="32"/>
          <w:szCs w:val="32"/>
        </w:rPr>
        <w:t>（一）职能职责</w:t>
      </w:r>
    </w:p>
    <w:p>
      <w:pPr>
        <w:spacing w:line="600" w:lineRule="exact"/>
        <w:ind w:firstLine="640" w:firstLineChars="200"/>
        <w:rPr>
          <w:rFonts w:ascii="方正仿宋_GBK" w:hAnsi="方正仿宋_GBK" w:eastAsia="方正仿宋_GBK" w:cs="方正仿宋_GBK"/>
          <w:sz w:val="32"/>
        </w:rPr>
      </w:pPr>
      <w:r>
        <w:rPr>
          <w:rFonts w:ascii="方正仿宋_GBK" w:hAnsi="方正仿宋_GBK" w:eastAsia="方正仿宋_GBK" w:cs="方正仿宋_GBK"/>
          <w:sz w:val="32"/>
        </w:rPr>
        <w:t>单位现行的职能职责主要是实施小学义务教育；适龄儿童义务教育；适龄儿童学前教学；全面推进素质教育；学校卫生、安全、稳定；学校经费与校产管理；师资队伍建设；制定本区域教育发展规划。</w:t>
      </w:r>
    </w:p>
    <w:p>
      <w:pPr>
        <w:spacing w:line="600" w:lineRule="exact"/>
        <w:ind w:firstLine="643" w:firstLineChars="200"/>
        <w:rPr>
          <w:rFonts w:ascii="方正仿宋_GBK" w:hAnsi="方正仿宋_GBK" w:eastAsia="方正仿宋_GBK" w:cs="方正仿宋_GBK"/>
          <w:b/>
          <w:sz w:val="32"/>
        </w:rPr>
      </w:pPr>
      <w:r>
        <w:rPr>
          <w:rFonts w:ascii="方正楷体_GBK" w:hAnsi="方正楷体_GBK" w:eastAsia="方正楷体_GBK" w:cs="方正楷体_GBK"/>
          <w:b/>
          <w:sz w:val="32"/>
        </w:rPr>
        <w:t>（二）机构设置。</w:t>
      </w:r>
    </w:p>
    <w:p>
      <w:pPr>
        <w:spacing w:line="600" w:lineRule="exact"/>
        <w:ind w:firstLine="640" w:firstLineChars="200"/>
        <w:rPr>
          <w:rFonts w:ascii="方正仿宋_GBK" w:hAnsi="方正仿宋_GBK" w:eastAsia="方正仿宋_GBK" w:cs="方正仿宋_GBK"/>
          <w:sz w:val="32"/>
        </w:rPr>
      </w:pPr>
      <w:r>
        <w:rPr>
          <w:rFonts w:ascii="方正仿宋_GBK" w:hAnsi="方正仿宋_GBK" w:eastAsia="方正仿宋_GBK" w:cs="方正仿宋_GBK"/>
          <w:sz w:val="32"/>
        </w:rPr>
        <w:t>本单位内设机构包含：德育处、教务处、教科处、安稳办、后勤处。</w:t>
      </w:r>
    </w:p>
    <w:p>
      <w:pPr>
        <w:pStyle w:val="6"/>
        <w:shd w:val="clear" w:color="auto" w:fill="FFFFFF"/>
        <w:spacing w:before="0" w:beforeAutospacing="0" w:after="0" w:afterAutospacing="0" w:line="600" w:lineRule="exact"/>
        <w:ind w:firstLine="640" w:firstLineChars="200"/>
        <w:rPr>
          <w:rFonts w:ascii="方正仿宋_GBK" w:hAnsi="方正仿宋_GBK" w:eastAsia="方正仿宋_GBK" w:cs="方正仿宋_GBK"/>
          <w:sz w:val="32"/>
        </w:rPr>
      </w:pPr>
      <w:r>
        <w:rPr>
          <w:rFonts w:ascii="方正仿宋_GBK" w:hAnsi="方正仿宋_GBK" w:eastAsia="方正仿宋_GBK" w:cs="方正仿宋_GBK"/>
          <w:sz w:val="32"/>
        </w:rPr>
        <w:t>领导职数：单位领导职数9名，其中：校长1名、副校长3名；内设机构领导职数5名。</w:t>
      </w: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2024年度收入总计2719.14万元，支出总计</w:t>
      </w:r>
      <w:r>
        <w:rPr>
          <w:rFonts w:ascii="方正仿宋_GBK" w:hAnsi="方正仿宋_GBK" w:eastAsia="方正仿宋_GBK" w:cs="方正仿宋_GBK"/>
          <w:sz w:val="32"/>
          <w:szCs w:val="32"/>
        </w:rPr>
        <w:t>2719.14</w:t>
      </w:r>
      <w:r>
        <w:rPr>
          <w:rFonts w:ascii="方正仿宋_GBK" w:hAnsi="方正仿宋_GBK" w:eastAsia="方正仿宋_GBK" w:cs="方正仿宋_GBK"/>
          <w:sz w:val="32"/>
          <w:szCs w:val="32"/>
          <w:shd w:val="clear" w:color="auto" w:fill="FFFFFF"/>
        </w:rPr>
        <w:t>万元。收、支与2023年度相比，减少82.64万元，下降2.95%，主要原因是2023年清算补发以前年度超额绩效和健康休养费。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2024年度收入合计2719.14万元，与2023年度相比，减少16.39万元，下降0.60%，主要原因是2023年清算补发以前年度超额绩效和健康休养费。其中：财政拨款收入</w:t>
      </w:r>
      <w:r>
        <w:rPr>
          <w:rFonts w:ascii="方正仿宋_GBK" w:hAnsi="方正仿宋_GBK" w:eastAsia="方正仿宋_GBK" w:cs="方正仿宋_GBK"/>
          <w:sz w:val="32"/>
          <w:szCs w:val="32"/>
        </w:rPr>
        <w:t>2279.66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83.84</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98.21</w:t>
      </w:r>
      <w:r>
        <w:rPr>
          <w:rFonts w:ascii="方正仿宋_GBK" w:hAnsi="方正仿宋_GBK" w:eastAsia="方正仿宋_GBK" w:cs="方正仿宋_GBK"/>
          <w:sz w:val="32"/>
          <w:szCs w:val="32"/>
          <w:shd w:val="clear" w:color="auto" w:fill="FFFFFF"/>
        </w:rPr>
        <w:t>万元，占3.61%；经营收入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341.27</w:t>
      </w:r>
      <w:r>
        <w:rPr>
          <w:rFonts w:ascii="方正仿宋_GBK" w:hAnsi="方正仿宋_GBK" w:eastAsia="方正仿宋_GBK" w:cs="方正仿宋_GBK"/>
          <w:sz w:val="32"/>
          <w:szCs w:val="32"/>
          <w:shd w:val="clear" w:color="auto" w:fill="FFFFFF"/>
        </w:rPr>
        <w:t>万元，占12.55%。此外，使用非财政拨款结余和专用结余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2678.32</w:t>
      </w:r>
      <w:r>
        <w:rPr>
          <w:rFonts w:ascii="方正仿宋_GBK" w:hAnsi="方正仿宋_GBK" w:eastAsia="方正仿宋_GBK" w:cs="方正仿宋_GBK"/>
          <w:sz w:val="32"/>
          <w:szCs w:val="32"/>
          <w:shd w:val="clear" w:color="auto" w:fill="FFFFFF"/>
        </w:rPr>
        <w:t>万元，与2023年度相比，减少73.77万元，下降2.68%，主要原因是2023年清算补发以前年度超额绩效和健康休养费。其中：基本支出</w:t>
      </w:r>
      <w:r>
        <w:rPr>
          <w:rFonts w:ascii="方正仿宋_GBK" w:hAnsi="方正仿宋_GBK" w:eastAsia="方正仿宋_GBK" w:cs="方正仿宋_GBK"/>
          <w:sz w:val="32"/>
          <w:szCs w:val="32"/>
        </w:rPr>
        <w:t>2421.24</w:t>
      </w:r>
      <w:r>
        <w:rPr>
          <w:rFonts w:ascii="方正仿宋_GBK" w:hAnsi="方正仿宋_GBK" w:eastAsia="方正仿宋_GBK" w:cs="方正仿宋_GBK"/>
          <w:sz w:val="32"/>
          <w:szCs w:val="32"/>
          <w:shd w:val="clear" w:color="auto" w:fill="FFFFFF"/>
        </w:rPr>
        <w:t>万元，占90.40%；项目支出</w:t>
      </w:r>
      <w:r>
        <w:rPr>
          <w:rFonts w:ascii="方正仿宋_GBK" w:hAnsi="方正仿宋_GBK" w:eastAsia="方正仿宋_GBK" w:cs="方正仿宋_GBK"/>
          <w:sz w:val="32"/>
          <w:szCs w:val="32"/>
        </w:rPr>
        <w:t>257.08</w:t>
      </w:r>
      <w:r>
        <w:rPr>
          <w:rFonts w:ascii="方正仿宋_GBK" w:hAnsi="方正仿宋_GBK" w:eastAsia="方正仿宋_GBK" w:cs="方正仿宋_GBK"/>
          <w:sz w:val="32"/>
          <w:szCs w:val="32"/>
          <w:shd w:val="clear" w:color="auto" w:fill="FFFFFF"/>
        </w:rPr>
        <w:t>万元，占9.60%；经营支出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40.82</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万元，与2023年度相比，无增减，主要原因是2023、2024年均无结转和结余。</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2024年度财政拨款收、支总计2279.66万元。与2023年相比，财政拨款收、支总计各减少75.46万元，下降3.20%。主要原因是2023年清算补发以前年度超额绩效和健康休养费。</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2279.66</w:t>
      </w:r>
      <w:r>
        <w:rPr>
          <w:rFonts w:ascii="方正仿宋_GBK" w:hAnsi="方正仿宋_GBK" w:eastAsia="方正仿宋_GBK" w:cs="方正仿宋_GBK"/>
          <w:sz w:val="32"/>
          <w:szCs w:val="32"/>
          <w:shd w:val="clear" w:color="auto" w:fill="FFFFFF"/>
        </w:rPr>
        <w:t>万元，与2023年度相比，减少75.46万元，下降3.20%。主要原因是2023年清算补发以前年度超额绩效和健康休养费。较年初预算数增加280.52万元，增长14.03%。主要原因是超额绩效纳入养老保险和职业年金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2279.66</w:t>
      </w:r>
      <w:r>
        <w:rPr>
          <w:rFonts w:ascii="方正仿宋_GBK" w:hAnsi="方正仿宋_GBK" w:eastAsia="方正仿宋_GBK" w:cs="方正仿宋_GBK"/>
          <w:sz w:val="32"/>
          <w:szCs w:val="32"/>
          <w:shd w:val="clear" w:color="auto" w:fill="FFFFFF"/>
        </w:rPr>
        <w:t>万元，与2023年度相比，减少75.46万元，下降3.20%。主要原因是2023年清算补发以前年度超额绩效和健康休养费。较年初预算数增加280.52万元，增长14.03%。主要原因是超额绩效纳入养老保险和职业年金基数。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1766.09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77.47</w:t>
      </w:r>
      <w:r>
        <w:rPr>
          <w:rFonts w:ascii="方正仿宋_GBK" w:hAnsi="方正仿宋_GBK" w:eastAsia="方正仿宋_GBK" w:cs="方正仿宋_GBK"/>
          <w:sz w:val="32"/>
          <w:szCs w:val="32"/>
          <w:shd w:val="clear" w:color="auto" w:fill="FFFFFF"/>
        </w:rPr>
        <w:t>%，较年初预算数增加165.46万元，增长10.34%，主要原因是本年预算执行中因教职工正常晋升、岗位职级变化等人员经费增加所致。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324.56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14.24</w:t>
      </w:r>
      <w:r>
        <w:rPr>
          <w:rFonts w:ascii="方正仿宋_GBK" w:hAnsi="方正仿宋_GBK" w:eastAsia="方正仿宋_GBK" w:cs="方正仿宋_GBK"/>
          <w:sz w:val="32"/>
          <w:szCs w:val="32"/>
          <w:shd w:val="clear" w:color="auto" w:fill="FFFFFF"/>
        </w:rPr>
        <w:t>%，较年初预算数增加108.44万元，增长50.18%，主要原因是本年预算执行中将超额绩效纳入养老保险和职业年金基数增加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85.97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3.77</w:t>
      </w:r>
      <w:r>
        <w:rPr>
          <w:rFonts w:ascii="方正仿宋_GBK" w:hAnsi="方正仿宋_GBK" w:eastAsia="方正仿宋_GBK" w:cs="方正仿宋_GBK"/>
          <w:sz w:val="32"/>
          <w:szCs w:val="32"/>
          <w:shd w:val="clear" w:color="auto" w:fill="FFFFFF"/>
        </w:rPr>
        <w:t>%，较年初预算数增加3.07万元，增长3.70%，主要原因是本年预算执行中因教师增多增加了缴费基数。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住房保障支出103.05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4.52</w:t>
      </w:r>
      <w:r>
        <w:rPr>
          <w:rFonts w:ascii="方正仿宋_GBK" w:hAnsi="方正仿宋_GBK" w:eastAsia="方正仿宋_GBK" w:cs="方正仿宋_GBK"/>
          <w:sz w:val="32"/>
          <w:szCs w:val="32"/>
          <w:shd w:val="clear" w:color="auto" w:fill="FFFFFF"/>
        </w:rPr>
        <w:t>%，较年初预算数增加3.57万元，增长3.59%，主要原因是本年预算执行中因教师增多增加了缴费基数。</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11"/>
        <w:autoSpaceDE w:val="0"/>
        <w:spacing w:line="600" w:lineRule="exact"/>
        <w:ind w:firstLine="64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2027.30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1999.85</w:t>
      </w:r>
      <w:r>
        <w:rPr>
          <w:rFonts w:ascii="方正仿宋_GBK" w:hAnsi="方正仿宋_GBK" w:eastAsia="方正仿宋_GBK" w:cs="方正仿宋_GBK"/>
          <w:sz w:val="32"/>
          <w:szCs w:val="32"/>
          <w:shd w:val="clear" w:color="auto" w:fill="FFFFFF"/>
        </w:rPr>
        <w:t>万元，与2023年度相比，减少123.93万元，下降5.84%，主要原因是2023年清算补发以前年度超额绩效和健康休养费。人员经费用途主要包括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27.45</w:t>
      </w:r>
      <w:r>
        <w:rPr>
          <w:rFonts w:ascii="方正仿宋_GBK" w:hAnsi="方正仿宋_GBK" w:eastAsia="方正仿宋_GBK" w:cs="方正仿宋_GBK"/>
          <w:sz w:val="32"/>
          <w:szCs w:val="32"/>
          <w:shd w:val="clear" w:color="auto" w:fill="FFFFFF"/>
        </w:rPr>
        <w:t>万元，与2023年度相比，减少2.59万元，下降8.62%，主要原因是工会经费、培训费、福利费的预算基数减少所致。公用经费用途主要包括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政府性基金预算财政拨款年初结转结余0.00万元，年末结转结余0.00万元。本年收入0.00万元，与2023年度相比，无增减，主要原因是本年度无政府性基金预算财政拨款收入。本年支出0.00万元，与2023年度相比，无增减，主要原因是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spacing w:line="600" w:lineRule="exact"/>
        <w:ind w:firstLine="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6.53</w:t>
      </w:r>
      <w:r>
        <w:rPr>
          <w:rFonts w:ascii="方正仿宋_GBK" w:hAnsi="方正仿宋_GBK" w:eastAsia="方正仿宋_GBK" w:cs="方正仿宋_GBK"/>
          <w:sz w:val="32"/>
          <w:szCs w:val="32"/>
          <w:shd w:val="clear" w:color="auto" w:fill="FFFFFF"/>
        </w:rPr>
        <w:t>万元，与2023年度相比，增加0.05万元，增长0.77%，主要原因是学校加大了师资队伍的建设和培训</w:t>
      </w:r>
      <w:r>
        <w:rPr>
          <w:rFonts w:hint="default"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14.32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14.32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%。主要用于采购教学用设备和学生课桌椅。</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根据预算绩效管理要求，我单位对12个二级项目开展了绩效自评，涉及财政拨款项目支出资金252.36万元。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318125" cy="5071745"/>
            <wp:effectExtent l="0" t="0" r="635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18125" cy="5071745"/>
                    </a:xfrm>
                    <a:prstGeom prst="rect">
                      <a:avLst/>
                    </a:prstGeom>
                    <a:noFill/>
                    <a:ln>
                      <a:noFill/>
                    </a:ln>
                  </pic:spPr>
                </pic:pic>
              </a:graphicData>
            </a:graphic>
          </wp:inline>
        </w:drawing>
      </w:r>
      <w:r>
        <w:t xml:space="preserve"> </w:t>
      </w: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349240" cy="5156200"/>
            <wp:effectExtent l="0" t="0" r="381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349240" cy="5156200"/>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bookmarkStart w:id="0" w:name="_GoBack"/>
      <w:bookmarkEnd w:id="0"/>
      <w:r>
        <w:rPr>
          <w:rFonts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rPr>
        <w:t>杨老师   023-74522016</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垫江县桂东小学校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2,279.66</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98.21</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2,164.75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341.27</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324.56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85.97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103.05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2,719.14</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2,678.32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40.82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2,719.14</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2,719.14</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垫江县桂东小学校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2,719.14</w:t>
            </w:r>
            <w:r>
              <w:rPr>
                <w:rFonts w:ascii="Times New Roman" w:hAnsi="Times New Roman"/>
                <w:b/>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2,279.66</w:t>
            </w:r>
            <w:r>
              <w:rPr>
                <w:rFonts w:ascii="Times New Roman" w:hAnsi="Times New Roman"/>
                <w:b/>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98.21</w:t>
            </w:r>
            <w:r>
              <w:rPr>
                <w:rFonts w:ascii="Times New Roman" w:hAnsi="Times New Roman"/>
                <w:b/>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98.21</w:t>
            </w:r>
            <w:r>
              <w:rPr>
                <w:rFonts w:ascii="Times New Roman" w:hAnsi="Times New Roman"/>
                <w:b/>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341.27</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2,205.57</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1,766.09</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98.21</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98.21</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341.27</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2,201.81</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1,762.33</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98.21</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98.21</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341.27</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218.89</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91.37</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98.21</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98.21</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29.31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1,982.92</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1,670.96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311.96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324.56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324.56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324.56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324.56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205.20</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205.20</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102.49</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102.49</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85.97</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85.97</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85.97</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85.97</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85.97</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85.97</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103.05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103.05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103.05</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103.05</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103.05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103.05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垫江县桂东小学校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51"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51"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51"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51"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51"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51"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2,678.32</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2,421.24</w:t>
            </w:r>
            <w:r>
              <w:rPr>
                <w:rFonts w:ascii="Times New Roman" w:hAnsi="Times New Roman"/>
                <w:b/>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257.08</w:t>
            </w:r>
            <w:r>
              <w:rPr>
                <w:rFonts w:ascii="Times New Roman" w:hAnsi="Times New Roman"/>
                <w:b/>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2,164.75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1,907.72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257.02</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2,160.98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1,903.96</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257.02</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203.96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112.59</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91.37</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1,957.03</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1,791.37</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165.66</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3.76</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3.76</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324.56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324.50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324.56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324.50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0.06</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205.20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205.20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102.49</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102.49</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16.80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0.06</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85.97</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85.97</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85.97</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85.97</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85.97</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85.97</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103.05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103.05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103.05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103.05</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51"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103.05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103.05</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0"/>
          <w:szCs w:val="20"/>
        </w:rPr>
      </w:pPr>
      <w:r>
        <w:rPr>
          <w:rFonts w:cs="宋体"/>
          <w:sz w:val="20"/>
          <w:szCs w:val="20"/>
        </w:rPr>
        <w:br w:type="textWrapping"/>
      </w:r>
    </w:p>
    <w:p>
      <w:pPr>
        <w:rPr>
          <w:rFonts w:hint="default" w:cs="宋体"/>
          <w:sz w:val="21"/>
          <w:szCs w:val="21"/>
        </w:rPr>
      </w:pP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垫江县桂东小学校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2,279.66</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1,766.09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1,766.09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324.56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324.56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85.97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85.97</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103.05</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103.05</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2,279.66</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2,279.66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2,279.66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2,279.66</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2,279.66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2,279.66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垫江县桂东小学校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2,279.66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2,027.30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252.36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1,766.09</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1,513.79</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252.30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1,762.33</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1,510.02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252.30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91.37</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91.37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1,670.96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1,510.02</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160.94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3.76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3.76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3.76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324.56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324.50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324.56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324.50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205.20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205.20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102.49</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102.49</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16.86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16.80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85.97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85.97</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85.97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85.97</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85.97</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85.97</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103.05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103.05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103.05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103.05</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103.05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103.05</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垫江县桂东小学校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1,983.05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27.45</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469.27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19.02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977.17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205.20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102.49</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85.97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2.49</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103.05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18.40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16.80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3.76</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15.60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9.95</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13.74</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1,999.85</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27.45</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垫江县桂东小学校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垫江县桂东小学校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垫江县桂东小学校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14.32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14.32</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6.53</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72010"/>
    <w:rsid w:val="001D3BB7"/>
    <w:rsid w:val="002868B4"/>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47D87"/>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414956"/>
    <w:rsid w:val="27B23302"/>
    <w:rsid w:val="29310A5F"/>
    <w:rsid w:val="29C37A35"/>
    <w:rsid w:val="2A076083"/>
    <w:rsid w:val="2A73162E"/>
    <w:rsid w:val="2B167953"/>
    <w:rsid w:val="2B200583"/>
    <w:rsid w:val="2B8209DE"/>
    <w:rsid w:val="2C636760"/>
    <w:rsid w:val="2C6762A3"/>
    <w:rsid w:val="2E31248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4F441A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7336DF"/>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23A2B"/>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7496</Words>
  <Characters>10036</Characters>
  <Lines>98</Lines>
  <Paragraphs>27</Paragraphs>
  <TotalTime>0</TotalTime>
  <ScaleCrop>false</ScaleCrop>
  <LinksUpToDate>false</LinksUpToDate>
  <CharactersWithSpaces>10818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2025-09-22T08:40:03Z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