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垫江县教委实验幼儿园</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0" w:firstLineChars="200"/>
        <w:rPr>
          <w:rStyle w:val="10"/>
          <w:rFonts w:ascii="方正黑体_GBK" w:eastAsia="方正黑体_GBK"/>
          <w:sz w:val="32"/>
          <w:szCs w:val="32"/>
        </w:rPr>
      </w:pPr>
    </w:p>
    <w:p>
      <w:pPr>
        <w:spacing w:line="600" w:lineRule="exact"/>
        <w:ind w:firstLine="640" w:firstLineChars="200"/>
        <w:rPr>
          <w:rStyle w:val="10"/>
          <w:rFonts w:hint="default" w:ascii="方正黑体_GBK" w:eastAsia="方正黑体_GBK"/>
          <w:b w:val="0"/>
          <w:bCs/>
          <w:sz w:val="32"/>
          <w:szCs w:val="32"/>
        </w:rPr>
      </w:pPr>
      <w:r>
        <w:rPr>
          <w:rStyle w:val="10"/>
          <w:rFonts w:ascii="方正黑体_GBK" w:eastAsia="方正黑体_GBK"/>
          <w:b w:val="0"/>
          <w:bCs/>
          <w:sz w:val="32"/>
          <w:szCs w:val="32"/>
        </w:rPr>
        <w:t>一、单位基本情况</w:t>
      </w:r>
    </w:p>
    <w:p>
      <w:pPr>
        <w:spacing w:line="600" w:lineRule="exact"/>
        <w:ind w:firstLine="640" w:firstLineChars="200"/>
        <w:rPr>
          <w:rFonts w:hint="default" w:hAnsi="方正仿宋_GBK" w:cs="方正仿宋_GBK"/>
        </w:rPr>
      </w:pPr>
      <w:r>
        <w:rPr>
          <w:rStyle w:val="10"/>
          <w:rFonts w:ascii="方正楷体_GBK" w:hAnsi="楷体" w:eastAsia="方正楷体_GBK" w:cs="楷体"/>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spacing w:line="600" w:lineRule="exact"/>
        <w:ind w:firstLine="640"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本单位内设机构包含：教务处、后勤处。经费形式：财政全额拨款。领导职数：单位领导职数4名，其中：园长1名、副园长1名；内设机构领导职数2名。</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2024年度收入总计1323.07万元，支出总计</w:t>
      </w:r>
      <w:r>
        <w:rPr>
          <w:rFonts w:ascii="方正仿宋_GBK" w:hAnsi="方正仿宋_GBK" w:eastAsia="方正仿宋_GBK" w:cs="方正仿宋_GBK"/>
          <w:sz w:val="32"/>
          <w:szCs w:val="32"/>
        </w:rPr>
        <w:t>1323.07</w:t>
      </w:r>
      <w:r>
        <w:rPr>
          <w:rFonts w:ascii="方正仿宋_GBK" w:hAnsi="方正仿宋_GBK" w:eastAsia="方正仿宋_GBK" w:cs="方正仿宋_GBK"/>
          <w:sz w:val="32"/>
          <w:szCs w:val="32"/>
          <w:shd w:val="clear" w:color="auto" w:fill="FFFFFF"/>
        </w:rPr>
        <w:t>万元。收、支与2023年度相比，减少91.84万元，下降6.49%，主要原因是2023年清算补发以前年度超额绩效。</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2024年度收入合计1298.22万元，与2023年度相比，减少37.40万元，下降2.80%，主要原因是2023年清算补发以前年度超额绩效。其中：财政拨款收入</w:t>
      </w:r>
      <w:r>
        <w:rPr>
          <w:rFonts w:ascii="方正仿宋_GBK" w:hAnsi="方正仿宋_GBK" w:eastAsia="方正仿宋_GBK" w:cs="方正仿宋_GBK"/>
          <w:sz w:val="32"/>
          <w:szCs w:val="32"/>
        </w:rPr>
        <w:t>772.53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59.51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401.02</w:t>
      </w:r>
      <w:r>
        <w:rPr>
          <w:rFonts w:ascii="方正仿宋_GBK" w:hAnsi="方正仿宋_GBK" w:eastAsia="方正仿宋_GBK" w:cs="方正仿宋_GBK"/>
          <w:sz w:val="32"/>
          <w:szCs w:val="32"/>
          <w:shd w:val="clear" w:color="auto" w:fill="FFFFFF"/>
        </w:rPr>
        <w:t>万元，占30.89%；经营收入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124.68</w:t>
      </w:r>
      <w:r>
        <w:rPr>
          <w:rFonts w:ascii="方正仿宋_GBK" w:hAnsi="方正仿宋_GBK" w:eastAsia="方正仿宋_GBK" w:cs="方正仿宋_GBK"/>
          <w:sz w:val="32"/>
          <w:szCs w:val="32"/>
          <w:shd w:val="clear" w:color="auto" w:fill="FFFFFF"/>
        </w:rPr>
        <w:t>万元，占9.60%。此外，使用非财政拨款结余和专用结余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24.85</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1258.49</w:t>
      </w:r>
      <w:r>
        <w:rPr>
          <w:rFonts w:ascii="方正仿宋_GBK" w:hAnsi="方正仿宋_GBK" w:eastAsia="方正仿宋_GBK" w:cs="方正仿宋_GBK"/>
          <w:sz w:val="32"/>
          <w:szCs w:val="32"/>
          <w:shd w:val="clear" w:color="auto" w:fill="FFFFFF"/>
        </w:rPr>
        <w:t>万元，与2023年度相比，减少99.70万元，下降7.34%，主要原因是2023年清算补发以前年度超额绩效。其中：基本支出</w:t>
      </w:r>
      <w:r>
        <w:rPr>
          <w:rFonts w:ascii="方正仿宋_GBK" w:hAnsi="方正仿宋_GBK" w:eastAsia="方正仿宋_GBK" w:cs="方正仿宋_GBK"/>
          <w:sz w:val="32"/>
          <w:szCs w:val="32"/>
        </w:rPr>
        <w:t>919.31</w:t>
      </w:r>
      <w:r>
        <w:rPr>
          <w:rFonts w:ascii="方正仿宋_GBK" w:hAnsi="方正仿宋_GBK" w:eastAsia="方正仿宋_GBK" w:cs="方正仿宋_GBK"/>
          <w:sz w:val="32"/>
          <w:szCs w:val="32"/>
          <w:shd w:val="clear" w:color="auto" w:fill="FFFFFF"/>
        </w:rPr>
        <w:t>万元，占73.05%；项目支出</w:t>
      </w:r>
      <w:r>
        <w:rPr>
          <w:rFonts w:ascii="方正仿宋_GBK" w:hAnsi="方正仿宋_GBK" w:eastAsia="方正仿宋_GBK" w:cs="方正仿宋_GBK"/>
          <w:sz w:val="32"/>
          <w:szCs w:val="32"/>
        </w:rPr>
        <w:t>339.18</w:t>
      </w:r>
      <w:r>
        <w:rPr>
          <w:rFonts w:ascii="方正仿宋_GBK" w:hAnsi="方正仿宋_GBK" w:eastAsia="方正仿宋_GBK" w:cs="方正仿宋_GBK"/>
          <w:sz w:val="32"/>
          <w:szCs w:val="32"/>
          <w:shd w:val="clear" w:color="auto" w:fill="FFFFFF"/>
        </w:rPr>
        <w:t>万元，占26.95%；经营支出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64.58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2024年度财政拨款收、支总计772.53万元。与2023年相比，财政拨款收、支总计各减少104.27万元，下降11.89%。主要原因是2023年清算补发以前年度超额绩效。</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772.53</w:t>
      </w:r>
      <w:r>
        <w:rPr>
          <w:rFonts w:ascii="方正仿宋_GBK" w:hAnsi="方正仿宋_GBK" w:eastAsia="方正仿宋_GBK" w:cs="方正仿宋_GBK"/>
          <w:sz w:val="32"/>
          <w:szCs w:val="32"/>
          <w:shd w:val="clear" w:color="auto" w:fill="FFFFFF"/>
        </w:rPr>
        <w:t>万元，与2023年度相比，减少104.27万元，下降11.89%。主要原因是2023年清算补发以前年度超额绩效。较年初预算数增加80.11万元，增长11.57%。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772.53</w:t>
      </w:r>
      <w:r>
        <w:rPr>
          <w:rFonts w:ascii="方正仿宋_GBK" w:hAnsi="方正仿宋_GBK" w:eastAsia="方正仿宋_GBK" w:cs="方正仿宋_GBK"/>
          <w:sz w:val="32"/>
          <w:szCs w:val="32"/>
          <w:shd w:val="clear" w:color="auto" w:fill="FFFFFF"/>
        </w:rPr>
        <w:t>万元，与2023年度相比，减少104.27万元，下降11.89%。主要原因是2023年清算补发以前年度超额绩效。较年初预算数增加80.11万元，增长11.57%。主要原因是超额绩效纳入养老保险和职业年金基数。</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657.06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85.05</w:t>
      </w:r>
      <w:r>
        <w:rPr>
          <w:rFonts w:ascii="方正仿宋_GBK" w:hAnsi="方正仿宋_GBK" w:eastAsia="方正仿宋_GBK" w:cs="方正仿宋_GBK"/>
          <w:sz w:val="32"/>
          <w:szCs w:val="32"/>
          <w:shd w:val="clear" w:color="auto" w:fill="FFFFFF"/>
        </w:rPr>
        <w:t>%，较年初预算数增加55.15万元，增长9.16%，主要原因是本年预算执行中因教职工正常晋升、岗位职级变化等人员经费增加所致。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71.41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9.24</w:t>
      </w:r>
      <w:r>
        <w:rPr>
          <w:rFonts w:ascii="方正仿宋_GBK" w:hAnsi="方正仿宋_GBK" w:eastAsia="方正仿宋_GBK" w:cs="方正仿宋_GBK"/>
          <w:sz w:val="32"/>
          <w:szCs w:val="32"/>
          <w:shd w:val="clear" w:color="auto" w:fill="FFFFFF"/>
        </w:rPr>
        <w:t>%，较年初预算数增加24.19万元，增长51.23%，主要原因是本年预算执行中将超额绩效纳入养老保险和职业年金基数增加</w:t>
      </w:r>
      <w:bookmarkStart w:id="0" w:name="_GoBack"/>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bookmarkEnd w:id="0"/>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19.74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2.55</w:t>
      </w:r>
      <w:r>
        <w:rPr>
          <w:rFonts w:ascii="方正仿宋_GBK" w:hAnsi="方正仿宋_GBK" w:eastAsia="方正仿宋_GBK" w:cs="方正仿宋_GBK"/>
          <w:sz w:val="32"/>
          <w:szCs w:val="32"/>
          <w:shd w:val="clear" w:color="auto" w:fill="FFFFFF"/>
        </w:rPr>
        <w:t>%，较年初预算数增加0.06万元，增长0.30%，主要原因是本年预算执行中因公招教师1人增加了缴费基数。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住房保障支出24.32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3.15</w:t>
      </w:r>
      <w:r>
        <w:rPr>
          <w:rFonts w:ascii="方正仿宋_GBK" w:hAnsi="方正仿宋_GBK" w:eastAsia="方正仿宋_GBK" w:cs="方正仿宋_GBK"/>
          <w:sz w:val="32"/>
          <w:szCs w:val="32"/>
          <w:shd w:val="clear" w:color="auto" w:fill="FFFFFF"/>
        </w:rPr>
        <w:t>%，较年初预算数增加0.71万元，增长3.01%，主要原因是本年预算执行中因公招教师1人增加了缴费基数。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459.85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453.52</w:t>
      </w:r>
      <w:r>
        <w:rPr>
          <w:rFonts w:ascii="方正仿宋_GBK" w:hAnsi="方正仿宋_GBK" w:eastAsia="方正仿宋_GBK" w:cs="方正仿宋_GBK"/>
          <w:sz w:val="32"/>
          <w:szCs w:val="32"/>
          <w:shd w:val="clear" w:color="auto" w:fill="FFFFFF"/>
        </w:rPr>
        <w:t>万元，与2023年度相比，增加34.38万元，增长8.20%，主要原因是2023年清算补发以前年度超额绩效和健康休养费。人员经费用途主要包括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6.32</w:t>
      </w:r>
      <w:r>
        <w:rPr>
          <w:rFonts w:ascii="方正仿宋_GBK" w:hAnsi="方正仿宋_GBK" w:eastAsia="方正仿宋_GBK" w:cs="方正仿宋_GBK"/>
          <w:sz w:val="32"/>
          <w:szCs w:val="32"/>
          <w:shd w:val="clear" w:color="auto" w:fill="FFFFFF"/>
        </w:rPr>
        <w:t>万元，与2023年度相比，增加0.11万元，增长1.77%，主要原因是工会经费、培训费、福利费的预算基数减少所致。公用经费用途主要包括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hint="eastAsia" w:ascii="方正楷体_GBK" w:hAnsi="楷体" w:eastAsia="方正仿宋_GBK" w:cs="楷体"/>
          <w:b/>
          <w:bCs/>
          <w:sz w:val="32"/>
          <w:szCs w:val="32"/>
          <w:shd w:val="clear" w:color="auto" w:fill="FFFFFF"/>
          <w:lang w:val="en-US" w:eastAsia="zh-CN"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2.35</w:t>
      </w:r>
      <w:r>
        <w:rPr>
          <w:rFonts w:ascii="方正仿宋_GBK" w:hAnsi="方正仿宋_GBK" w:eastAsia="方正仿宋_GBK" w:cs="方正仿宋_GBK"/>
          <w:sz w:val="32"/>
          <w:szCs w:val="32"/>
          <w:shd w:val="clear" w:color="auto" w:fill="FFFFFF"/>
        </w:rPr>
        <w:t>万元，与2023年度相比，减少1.02万元，下降30.27%，主要原因是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r>
        <w:rPr>
          <w:rFonts w:hint="eastAsia" w:ascii="方正仿宋_GBK" w:hAnsi="方正仿宋_GBK" w:eastAsia="方正仿宋_GBK" w:cs="方正仿宋_GBK"/>
          <w:sz w:val="32"/>
          <w:szCs w:val="32"/>
          <w:shd w:val="clear" w:color="auto" w:fill="FFFFFF"/>
          <w:lang w:eastAsia="zh-CN"/>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9.35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9.35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9.35万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9.35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根据预算绩效管理要求，我单位对5个二级项目开展了绩效自评，涉及财政拨款项目支出资金312.68万元。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6050280" cy="4896485"/>
            <wp:effectExtent l="0" t="0" r="762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050280" cy="4896485"/>
                    </a:xfrm>
                    <a:prstGeom prst="rect">
                      <a:avLst/>
                    </a:prstGeom>
                    <a:noFill/>
                    <a:ln>
                      <a:noFill/>
                    </a:ln>
                  </pic:spPr>
                </pic:pic>
              </a:graphicData>
            </a:graphic>
          </wp:inline>
        </w:drawing>
      </w:r>
      <w:r>
        <w:t xml:space="preserve"> </w:t>
      </w:r>
      <w:r>
        <w:drawing>
          <wp:inline distT="0" distB="0" distL="114300" distR="114300">
            <wp:extent cx="6044565" cy="4946015"/>
            <wp:effectExtent l="0" t="0" r="381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044565"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七、决算公开联系方式及信息反馈渠道</w:t>
      </w:r>
    </w:p>
    <w:p>
      <w:pPr>
        <w:pStyle w:val="6"/>
        <w:shd w:val="clear" w:color="auto" w:fill="FFFFFF"/>
        <w:spacing w:before="0" w:beforeAutospacing="0" w:after="0" w:afterAutospacing="0" w:line="600" w:lineRule="exact"/>
        <w:ind w:firstLine="640" w:firstLineChars="200"/>
        <w:rPr>
          <w:rFonts w:ascii="方正黑体_GBK" w:hAnsi="方正仿宋_GBK" w:eastAsia="方正黑体_GBK" w:cs="方正仿宋_GBK"/>
          <w:b/>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eastAsia="方正仿宋_GBK"/>
          <w:sz w:val="32"/>
          <w:szCs w:val="32"/>
        </w:rPr>
        <w:t>潘老师    023-74666991</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垫江县教委实验幼儿园</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772.53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401.02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124.68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1,298.22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1,323.07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1,323.07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垫江县教委实验幼儿园</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1,298.22</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772.53</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401.02</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401.02</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124.68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1,182.75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401.02</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401.02</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1,181.87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401.02</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401.02</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1,181.87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656.17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401.02</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401.02</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124.68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垫江县教委实验幼儿园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1,258.49</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919.31</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339.18</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1,143.02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803.84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1,142.14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802.96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1,142.14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802.96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339.18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垫江县教委实验幼儿园</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垫江县教委实验幼儿园</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772.53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312.68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312.68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656.17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343.49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312.68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343.49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312.68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垫江县教委实验幼儿园</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453.52</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垫江县教委实验幼儿园</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垫江县教委实验幼儿园</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垫江县教委实验幼儿园</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方正楷体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04617"/>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9F0AEC"/>
    <w:rsid w:val="00A566F9"/>
    <w:rsid w:val="00AC75CE"/>
    <w:rsid w:val="00AF2751"/>
    <w:rsid w:val="00B03CCD"/>
    <w:rsid w:val="00BE2B89"/>
    <w:rsid w:val="00BF0D89"/>
    <w:rsid w:val="00C10E9E"/>
    <w:rsid w:val="00C20C3E"/>
    <w:rsid w:val="00C24406"/>
    <w:rsid w:val="00C5163E"/>
    <w:rsid w:val="00CF2ACF"/>
    <w:rsid w:val="00D03AAF"/>
    <w:rsid w:val="00DD0539"/>
    <w:rsid w:val="00E07662"/>
    <w:rsid w:val="00E368E9"/>
    <w:rsid w:val="00EE1E33"/>
    <w:rsid w:val="00F73F90"/>
    <w:rsid w:val="00FB4B3B"/>
    <w:rsid w:val="01474EBF"/>
    <w:rsid w:val="01F3521E"/>
    <w:rsid w:val="03B87EA0"/>
    <w:rsid w:val="03E3214F"/>
    <w:rsid w:val="044C50BA"/>
    <w:rsid w:val="046E145D"/>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7E2811"/>
    <w:rsid w:val="40BD5482"/>
    <w:rsid w:val="411B6CE5"/>
    <w:rsid w:val="412070D7"/>
    <w:rsid w:val="41314E40"/>
    <w:rsid w:val="41E0734B"/>
    <w:rsid w:val="422E1058"/>
    <w:rsid w:val="426C1EA8"/>
    <w:rsid w:val="42736402"/>
    <w:rsid w:val="42B76F80"/>
    <w:rsid w:val="42E86A87"/>
    <w:rsid w:val="43307B09"/>
    <w:rsid w:val="439A3EB9"/>
    <w:rsid w:val="43BB152F"/>
    <w:rsid w:val="44C37687"/>
    <w:rsid w:val="45CB699A"/>
    <w:rsid w:val="46423C66"/>
    <w:rsid w:val="465B470D"/>
    <w:rsid w:val="469D6AD4"/>
    <w:rsid w:val="471E6C84"/>
    <w:rsid w:val="4720344D"/>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DF14EF"/>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8220</Words>
  <Characters>10560</Characters>
  <Lines>94</Lines>
  <Paragraphs>26</Paragraphs>
  <TotalTime>0</TotalTime>
  <ScaleCrop>false</ScaleCrop>
  <LinksUpToDate>false</LinksUpToDate>
  <CharactersWithSpaces>11567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2025-09-23T01:00:35Z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