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垫江县教育委员会（本级）</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snapToGrid w:val="0"/>
        <w:spacing w:line="576" w:lineRule="atLeas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1</w:t>
      </w:r>
      <w:r>
        <w:rPr>
          <w:rFonts w:ascii="Times New Roman" w:hAnsi="Times New Roman" w:eastAsia="方正仿宋_GBK" w:cs="方正仿宋_GBK"/>
          <w:sz w:val="32"/>
          <w:szCs w:val="32"/>
        </w:rPr>
        <w:t>．贯彻执行教育工作的法律、法规、规章和方针政策，拟订教育事业发展规划和教育政策，指导全县教育工作。</w:t>
      </w:r>
    </w:p>
    <w:p>
      <w:pPr>
        <w:snapToGrid w:val="0"/>
        <w:spacing w:line="576" w:lineRule="atLeas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2</w:t>
      </w:r>
      <w:r>
        <w:rPr>
          <w:rFonts w:ascii="Times New Roman" w:hAnsi="Times New Roman" w:eastAsia="方正仿宋_GBK" w:cs="方正仿宋_GBK"/>
          <w:sz w:val="32"/>
          <w:szCs w:val="32"/>
        </w:rPr>
        <w:t>．负责全县各级各类教育的统筹规划和协调管理，负责全县教育体制改革；负责规划学校的布局结构调整，审核报批各级各类学校的设置、撤销、更名、调整、停办、合并以及编制的调整、使用；指导各级各类学校教育教学改革、课程教材建设及教育科研工作；负责教育统计、信息工作。</w:t>
      </w:r>
    </w:p>
    <w:p>
      <w:pPr>
        <w:snapToGrid w:val="0"/>
        <w:spacing w:line="576" w:lineRule="atLeas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3</w:t>
      </w:r>
      <w:r>
        <w:rPr>
          <w:rFonts w:ascii="Times New Roman" w:hAnsi="Times New Roman" w:eastAsia="方正仿宋_GBK" w:cs="方正仿宋_GBK"/>
          <w:sz w:val="32"/>
          <w:szCs w:val="32"/>
        </w:rPr>
        <w:t>．负责推进义务教育均衡发展和促进教育公平；负责义务教育的指导与协调，组织实施促进公共教育资源进一步向农村地区倾斜的政策措施，实施基础教育教学改革，全面实施素质教育。</w:t>
      </w:r>
    </w:p>
    <w:p>
      <w:pPr>
        <w:snapToGrid w:val="0"/>
        <w:spacing w:line="576" w:lineRule="atLeas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4</w:t>
      </w:r>
      <w:r>
        <w:rPr>
          <w:rFonts w:ascii="Times New Roman" w:hAnsi="Times New Roman" w:eastAsia="方正仿宋_GBK" w:cs="方正仿宋_GBK"/>
          <w:sz w:val="32"/>
          <w:szCs w:val="32"/>
        </w:rPr>
        <w:t>．负责全县教育督导工作；负责全县教育发展水平、质量监测工作。</w:t>
      </w:r>
    </w:p>
    <w:p>
      <w:pPr>
        <w:snapToGrid w:val="0"/>
        <w:spacing w:line="576" w:lineRule="atLeas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5</w:t>
      </w:r>
      <w:r>
        <w:rPr>
          <w:rFonts w:ascii="Times New Roman" w:hAnsi="Times New Roman" w:eastAsia="方正仿宋_GBK" w:cs="方正仿宋_GBK"/>
          <w:sz w:val="32"/>
          <w:szCs w:val="32"/>
        </w:rPr>
        <w:t>．指导以就业为导向的职业教育的发展与改革，组织实施深化职业教育教学改革的政策措施，指导职业学校提高办学水平和质量。</w:t>
      </w:r>
    </w:p>
    <w:p>
      <w:pPr>
        <w:snapToGrid w:val="0"/>
        <w:spacing w:line="576" w:lineRule="atLeas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6</w:t>
      </w:r>
      <w:r>
        <w:rPr>
          <w:rFonts w:ascii="Times New Roman" w:hAnsi="Times New Roman" w:eastAsia="方正仿宋_GBK" w:cs="方正仿宋_GBK"/>
          <w:sz w:val="32"/>
          <w:szCs w:val="32"/>
        </w:rPr>
        <w:t>．负责全县教育经费的统筹管理；负责事业费、专项经费及其他经费的预、决算工作；协助有关部门决定学校公用经费定额、学费和代收费标准；指导本系统财务、会计和内部审计工作；负责教育援助的统筹安排与管理；协助有关部门承办贫困生资助工作。</w:t>
      </w:r>
    </w:p>
    <w:p>
      <w:pPr>
        <w:snapToGrid w:val="0"/>
        <w:spacing w:line="576" w:lineRule="atLeas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7</w:t>
      </w:r>
      <w:r>
        <w:rPr>
          <w:rFonts w:ascii="Times New Roman" w:hAnsi="Times New Roman" w:eastAsia="方正仿宋_GBK" w:cs="方正仿宋_GBK"/>
          <w:sz w:val="32"/>
          <w:szCs w:val="32"/>
        </w:rPr>
        <w:t>．统筹管理、协调民办教育，拟订民办教育管理的政策措施，规范办学秩序，承担民办教育监管的责任。</w:t>
      </w:r>
    </w:p>
    <w:p>
      <w:pPr>
        <w:snapToGrid w:val="0"/>
        <w:spacing w:line="576" w:lineRule="atLeas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8</w:t>
      </w:r>
      <w:r>
        <w:rPr>
          <w:rFonts w:ascii="Times New Roman" w:hAnsi="Times New Roman" w:eastAsia="方正仿宋_GBK" w:cs="方正仿宋_GBK"/>
          <w:sz w:val="32"/>
          <w:szCs w:val="32"/>
        </w:rPr>
        <w:t>．指导各级各类学校的思想政治、德育、体育卫生</w:t>
      </w:r>
      <w:r>
        <w:rPr>
          <w:rFonts w:hint="eastAsia" w:ascii="Times New Roman" w:hAnsi="Times New Roman" w:eastAsia="方正仿宋_GBK" w:cs="方正仿宋_GBK"/>
          <w:sz w:val="32"/>
          <w:szCs w:val="32"/>
          <w:lang w:eastAsia="zh-CN"/>
        </w:rPr>
        <w:t>、</w:t>
      </w:r>
      <w:r>
        <w:rPr>
          <w:rFonts w:ascii="Times New Roman" w:hAnsi="Times New Roman" w:eastAsia="方正仿宋_GBK" w:cs="方正仿宋_GBK"/>
          <w:sz w:val="32"/>
          <w:szCs w:val="32"/>
        </w:rPr>
        <w:t>艺术教育、环保教育、国防教育等工作。</w:t>
      </w:r>
    </w:p>
    <w:p>
      <w:pPr>
        <w:snapToGrid w:val="0"/>
        <w:spacing w:line="576" w:lineRule="atLeas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9</w:t>
      </w:r>
      <w:r>
        <w:rPr>
          <w:rFonts w:ascii="Times New Roman" w:hAnsi="Times New Roman" w:eastAsia="方正仿宋_GBK" w:cs="方正仿宋_GBK"/>
          <w:sz w:val="32"/>
          <w:szCs w:val="32"/>
        </w:rPr>
        <w:t>．主管全县教师工作。协助市教委实施教师资格制度；承办教职工的工资福利、职称评聘、教师的招录、调配、培训、考核、评优表彰和奖惩工作；按干部管理权限，负责学校干部的培养培训、推荐、考察、任免、奖惩工作。</w:t>
      </w:r>
    </w:p>
    <w:p>
      <w:pPr>
        <w:snapToGrid w:val="0"/>
        <w:spacing w:line="576" w:lineRule="atLeas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10</w:t>
      </w:r>
      <w:r>
        <w:rPr>
          <w:rFonts w:ascii="Times New Roman" w:hAnsi="Times New Roman" w:eastAsia="方正仿宋_GBK" w:cs="方正仿宋_GBK"/>
          <w:sz w:val="32"/>
          <w:szCs w:val="32"/>
        </w:rPr>
        <w:t>．统筹管理大学中专招生考试工作；负责全县小学、初中、高中考试、招生及学籍管理工作。</w:t>
      </w:r>
    </w:p>
    <w:p>
      <w:pPr>
        <w:snapToGrid w:val="0"/>
        <w:spacing w:line="576" w:lineRule="atLeas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11</w:t>
      </w:r>
      <w:r>
        <w:rPr>
          <w:rFonts w:ascii="Times New Roman" w:hAnsi="Times New Roman" w:eastAsia="方正仿宋_GBK" w:cs="方正仿宋_GBK"/>
          <w:sz w:val="32"/>
          <w:szCs w:val="32"/>
        </w:rPr>
        <w:t>．负责全县的语言文字管理工作，拟订语言文字工作中长期规划，组织普通话培训及普通话相应等级测试工作。</w:t>
      </w:r>
    </w:p>
    <w:p>
      <w:pPr>
        <w:snapToGrid w:val="0"/>
        <w:spacing w:line="576" w:lineRule="atLeas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12</w:t>
      </w:r>
      <w:r>
        <w:rPr>
          <w:rFonts w:ascii="Times New Roman" w:hAnsi="Times New Roman" w:eastAsia="方正仿宋_GBK" w:cs="方正仿宋_GBK"/>
          <w:sz w:val="32"/>
          <w:szCs w:val="32"/>
        </w:rPr>
        <w:t>．负责对各级各类学校的国有资产进行宏观管理；指导学校建设、教育装备、教育产业、勤工俭学、学校后勤改革工作。</w:t>
      </w:r>
    </w:p>
    <w:p>
      <w:pPr>
        <w:snapToGrid w:val="0"/>
        <w:spacing w:line="576" w:lineRule="atLeas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13</w:t>
      </w:r>
      <w:r>
        <w:rPr>
          <w:rFonts w:ascii="Times New Roman" w:hAnsi="Times New Roman" w:eastAsia="方正仿宋_GBK" w:cs="方正仿宋_GBK"/>
          <w:sz w:val="32"/>
          <w:szCs w:val="32"/>
        </w:rPr>
        <w:t>．承办县政府交办的其他事项。</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2024年度收入总计5358.08万元，支出总计</w:t>
      </w:r>
      <w:r>
        <w:rPr>
          <w:rFonts w:ascii="方正仿宋_GBK" w:hAnsi="方正仿宋_GBK" w:eastAsia="方正仿宋_GBK" w:cs="方正仿宋_GBK"/>
          <w:sz w:val="32"/>
          <w:szCs w:val="32"/>
        </w:rPr>
        <w:t>5358.08</w:t>
      </w:r>
      <w:r>
        <w:rPr>
          <w:rFonts w:ascii="方正仿宋_GBK" w:hAnsi="方正仿宋_GBK" w:eastAsia="方正仿宋_GBK" w:cs="方正仿宋_GBK"/>
          <w:sz w:val="32"/>
          <w:szCs w:val="32"/>
          <w:shd w:val="clear" w:color="auto" w:fill="FFFFFF"/>
        </w:rPr>
        <w:t>万元。收、支与2023年度相比，增加1210.70万元，增长29.2%，主要原因是垫江县松林小学幼儿园新建工程项目支出增加。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2024年度收入合计5349.10万元，与2023年度相比，增加1258.47万元，增长30.8%，主要原因是垫江县松林小学幼儿园新建工程项目支出增加。其中：财政拨款收入</w:t>
      </w:r>
      <w:r>
        <w:rPr>
          <w:rFonts w:ascii="方正仿宋_GBK" w:hAnsi="方正仿宋_GBK" w:eastAsia="方正仿宋_GBK" w:cs="方正仿宋_GBK"/>
          <w:sz w:val="32"/>
          <w:szCs w:val="32"/>
        </w:rPr>
        <w:t>5349.10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8.98</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5349.10</w:t>
      </w:r>
      <w:r>
        <w:rPr>
          <w:rFonts w:ascii="方正仿宋_GBK" w:hAnsi="方正仿宋_GBK" w:eastAsia="方正仿宋_GBK" w:cs="方正仿宋_GBK"/>
          <w:sz w:val="32"/>
          <w:szCs w:val="32"/>
          <w:shd w:val="clear" w:color="auto" w:fill="FFFFFF"/>
        </w:rPr>
        <w:t>万元，与2023年度相比，增加1210.69万元，增长29.3%，主要原因是垫江县松林小学幼儿园新建工程项目支出增加。其中：基本支出</w:t>
      </w:r>
      <w:r>
        <w:rPr>
          <w:rFonts w:ascii="方正仿宋_GBK" w:hAnsi="方正仿宋_GBK" w:eastAsia="方正仿宋_GBK" w:cs="方正仿宋_GBK"/>
          <w:sz w:val="32"/>
          <w:szCs w:val="32"/>
        </w:rPr>
        <w:t>471.60</w:t>
      </w:r>
      <w:r>
        <w:rPr>
          <w:rFonts w:ascii="方正仿宋_GBK" w:hAnsi="方正仿宋_GBK" w:eastAsia="方正仿宋_GBK" w:cs="方正仿宋_GBK"/>
          <w:sz w:val="32"/>
          <w:szCs w:val="32"/>
          <w:shd w:val="clear" w:color="auto" w:fill="FFFFFF"/>
        </w:rPr>
        <w:t>万元，占8.8%；项目支出</w:t>
      </w:r>
      <w:r>
        <w:rPr>
          <w:rFonts w:ascii="方正仿宋_GBK" w:hAnsi="方正仿宋_GBK" w:eastAsia="方正仿宋_GBK" w:cs="方正仿宋_GBK"/>
          <w:sz w:val="32"/>
          <w:szCs w:val="32"/>
        </w:rPr>
        <w:t>4877.50</w:t>
      </w:r>
      <w:r>
        <w:rPr>
          <w:rFonts w:ascii="方正仿宋_GBK" w:hAnsi="方正仿宋_GBK" w:eastAsia="方正仿宋_GBK" w:cs="方正仿宋_GBK"/>
          <w:sz w:val="32"/>
          <w:szCs w:val="32"/>
          <w:shd w:val="clear" w:color="auto" w:fill="FFFFFF"/>
        </w:rPr>
        <w:t>万元，占91.2%；经营支出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7"/>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8.98</w:t>
      </w:r>
      <w:r>
        <w:rPr>
          <w:rFonts w:ascii="方正仿宋_GBK" w:hAnsi="方正仿宋_GBK" w:eastAsia="方正仿宋_GBK" w:cs="方正仿宋_GBK"/>
          <w:sz w:val="32"/>
          <w:szCs w:val="32"/>
          <w:shd w:val="clear" w:color="auto" w:fill="FFFFFF"/>
        </w:rPr>
        <w:t>万元，与2023年度相比，无增减，主要原因是本年度无新增结转和结余。</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2024年度财政拨款收、支总计5358.08万元。与2023年相比，财政拨款收、支总计各增加1210.70万元，增长29.2%。主要原因是垫江县松林小学幼儿园新建工程项目支出增加。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1057.33</w:t>
      </w:r>
      <w:r>
        <w:rPr>
          <w:rFonts w:ascii="方正仿宋_GBK" w:hAnsi="方正仿宋_GBK" w:eastAsia="方正仿宋_GBK" w:cs="方正仿宋_GBK"/>
          <w:sz w:val="32"/>
          <w:szCs w:val="32"/>
          <w:shd w:val="clear" w:color="auto" w:fill="FFFFFF"/>
        </w:rPr>
        <w:t>万元，与2023年度相比，减少294.94万元，下降21.8%。主要原因是人员退休及商品服务支出、项目预算减少。较年初预算数增加313.08万元，增长42.1%。主要原因是</w:t>
      </w:r>
      <w:r>
        <w:rPr>
          <w:rFonts w:ascii="方正仿宋_GBK" w:eastAsia="方正仿宋_GBK"/>
          <w:sz w:val="32"/>
          <w:szCs w:val="32"/>
        </w:rPr>
        <w:t>晋岗晋级、工资调标、教育系统内各类教育教学活动等经费类基本支出增加。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8.98</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1057.33</w:t>
      </w:r>
      <w:r>
        <w:rPr>
          <w:rFonts w:ascii="方正仿宋_GBK" w:hAnsi="方正仿宋_GBK" w:eastAsia="方正仿宋_GBK" w:cs="方正仿宋_GBK"/>
          <w:sz w:val="32"/>
          <w:szCs w:val="32"/>
          <w:shd w:val="clear" w:color="auto" w:fill="FFFFFF"/>
        </w:rPr>
        <w:t>万元，与2023年度相比，减少342.72万元，下降24.5%。主要原因是人员退休及商品服务支出、项目预算减少。较年初预算数增加313.08万元，增长42.1%。主要原因是</w:t>
      </w:r>
      <w:r>
        <w:rPr>
          <w:rFonts w:ascii="方正仿宋_GBK" w:eastAsia="方正仿宋_GBK"/>
          <w:sz w:val="32"/>
          <w:szCs w:val="32"/>
        </w:rPr>
        <w:t>晋岗晋级、工资调标、教育系统内各类教育教学活动等经费类基本支出增加。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8.98</w:t>
      </w:r>
      <w:r>
        <w:rPr>
          <w:rFonts w:ascii="方正仿宋_GBK" w:hAnsi="方正仿宋_GBK" w:eastAsia="方正仿宋_GBK" w:cs="方正仿宋_GBK"/>
          <w:sz w:val="32"/>
          <w:szCs w:val="32"/>
          <w:shd w:val="clear" w:color="auto" w:fill="FFFFFF"/>
        </w:rPr>
        <w:t>万元，与2023年度相比，无增减，主要原因是本年度无新增结转和结余。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901.97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85.3%</w:t>
      </w:r>
      <w:r>
        <w:rPr>
          <w:rFonts w:ascii="方正仿宋_GBK" w:hAnsi="方正仿宋_GBK" w:eastAsia="方正仿宋_GBK" w:cs="方正仿宋_GBK"/>
          <w:sz w:val="32"/>
          <w:szCs w:val="32"/>
          <w:shd w:val="clear" w:color="auto" w:fill="FFFFFF"/>
        </w:rPr>
        <w:t>，较年初预算数增加316.69万元，增长54.1%，主要原因是</w:t>
      </w:r>
      <w:r>
        <w:rPr>
          <w:rFonts w:ascii="方正仿宋_GBK" w:eastAsia="方正仿宋_GBK"/>
          <w:sz w:val="32"/>
          <w:szCs w:val="32"/>
        </w:rPr>
        <w:t>晋岗晋级、工资调标、教育系统内各类教育教学活动等经费类基本支出增加。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111.01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10.5%</w:t>
      </w:r>
      <w:r>
        <w:rPr>
          <w:rFonts w:ascii="方正仿宋_GBK" w:hAnsi="方正仿宋_GBK" w:eastAsia="方正仿宋_GBK" w:cs="方正仿宋_GBK"/>
          <w:sz w:val="32"/>
          <w:szCs w:val="32"/>
          <w:shd w:val="clear" w:color="auto" w:fill="FFFFFF"/>
        </w:rPr>
        <w:t>，较年初预算数减少2.60万元，下降2.3%，主要原</w:t>
      </w:r>
      <w:r>
        <w:rPr>
          <w:rFonts w:ascii="方正仿宋_GBK" w:hAnsi="方正仿宋_GBK" w:eastAsia="方正仿宋_GBK" w:cs="方正仿宋_GBK"/>
          <w:color w:val="000000" w:themeColor="text1"/>
          <w:sz w:val="32"/>
          <w:szCs w:val="32"/>
          <w:shd w:val="clear" w:color="auto" w:fill="FFFFFF"/>
        </w:rPr>
        <w:t>因是人员退休导致支出减少。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18.79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w:t>
      </w:r>
      <w:r>
        <w:rPr>
          <w:rFonts w:ascii="方正仿宋_GBK" w:hAnsi="方正仿宋_GBK" w:eastAsia="方正仿宋_GBK" w:cs="方正仿宋_GBK"/>
          <w:sz w:val="32"/>
          <w:szCs w:val="32"/>
          <w:shd w:val="clear" w:color="auto" w:fill="FFFFFF"/>
        </w:rPr>
        <w:t>，较年初预算数减少0.60万元，下降3.1%，主要原</w:t>
      </w:r>
      <w:r>
        <w:rPr>
          <w:rFonts w:ascii="方正仿宋_GBK" w:hAnsi="方正仿宋_GBK" w:eastAsia="方正仿宋_GBK" w:cs="方正仿宋_GBK"/>
          <w:color w:val="000000" w:themeColor="text1"/>
          <w:sz w:val="32"/>
          <w:szCs w:val="32"/>
          <w:shd w:val="clear" w:color="auto" w:fill="FFFFFF"/>
        </w:rPr>
        <w:t>因是人员退休导致支出减少。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住房保障支出25.55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w:t>
      </w:r>
      <w:r>
        <w:rPr>
          <w:rFonts w:ascii="方正仿宋_GBK" w:hAnsi="方正仿宋_GBK" w:eastAsia="方正仿宋_GBK" w:cs="方正仿宋_GBK"/>
          <w:sz w:val="32"/>
          <w:szCs w:val="32"/>
          <w:shd w:val="clear" w:color="auto" w:fill="FFFFFF"/>
        </w:rPr>
        <w:t>，较年初预算数减少0.41万元，下降1.6%，主要原</w:t>
      </w:r>
      <w:r>
        <w:rPr>
          <w:rFonts w:ascii="方正仿宋_GBK" w:hAnsi="方正仿宋_GBK" w:eastAsia="方正仿宋_GBK" w:cs="方正仿宋_GBK"/>
          <w:color w:val="000000" w:themeColor="text1"/>
          <w:sz w:val="32"/>
          <w:szCs w:val="32"/>
          <w:shd w:val="clear" w:color="auto" w:fill="FFFFFF"/>
        </w:rPr>
        <w:t>因是人员退休导致支出减少。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pacing w:beforeAutospacing="0" w:afterAutospacing="0" w:line="576"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471.60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396.24</w:t>
      </w:r>
      <w:r>
        <w:rPr>
          <w:rFonts w:ascii="方正仿宋_GBK" w:hAnsi="方正仿宋_GBK" w:eastAsia="方正仿宋_GBK" w:cs="方正仿宋_GBK"/>
          <w:sz w:val="32"/>
          <w:szCs w:val="32"/>
          <w:shd w:val="clear" w:color="auto" w:fill="FFFFFF"/>
        </w:rPr>
        <w:t>万元，与2023年度相比，减少215.55万元，下降35.2%，</w:t>
      </w:r>
      <w:r>
        <w:rPr>
          <w:rFonts w:ascii="方正仿宋_GBK" w:eastAsia="方正仿宋_GBK"/>
          <w:color w:val="000000" w:themeColor="text1"/>
          <w:sz w:val="32"/>
          <w:szCs w:val="32"/>
        </w:rPr>
        <w:t>主要原因是人员退休和其他工资和福利支出减少。</w:t>
      </w:r>
      <w:r>
        <w:rPr>
          <w:rFonts w:ascii="方正仿宋_GBK" w:hAnsi="方正仿宋_GBK" w:eastAsia="方正仿宋_GBK" w:cs="方正仿宋_GBK"/>
          <w:sz w:val="32"/>
          <w:szCs w:val="32"/>
          <w:shd w:val="clear" w:color="auto" w:fill="FFFFFF"/>
        </w:rPr>
        <w:t>人员经费用途主要包括</w:t>
      </w:r>
      <w:r>
        <w:rPr>
          <w:rFonts w:ascii="方正仿宋_GBK" w:eastAsia="方正仿宋_GBK"/>
          <w:color w:val="000000" w:themeColor="text1"/>
          <w:sz w:val="32"/>
          <w:szCs w:val="32"/>
        </w:rPr>
        <w:t>统发工资、绩效工资、社会保障和就业支出、医疗卫生支出和住房保障支出。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75.36</w:t>
      </w:r>
      <w:r>
        <w:rPr>
          <w:rFonts w:ascii="方正仿宋_GBK" w:hAnsi="方正仿宋_GBK" w:eastAsia="方正仿宋_GBK" w:cs="方正仿宋_GBK"/>
          <w:sz w:val="32"/>
          <w:szCs w:val="32"/>
          <w:shd w:val="clear" w:color="auto" w:fill="FFFFFF"/>
        </w:rPr>
        <w:t>万元，与2023年度相比，减少55.82万元，下降42.6%，主要原因是本年度压缩支出，厉行节约。公用经费用途主要包括</w:t>
      </w:r>
      <w:r>
        <w:rPr>
          <w:rFonts w:ascii="Times New Roman" w:hAnsi="Times New Roman" w:eastAsia="方正仿宋_GBK" w:cs="方正仿宋_GBK"/>
          <w:sz w:val="32"/>
          <w:szCs w:val="32"/>
        </w:rPr>
        <w:t>办公费、印刷费、水电费、邮电费、差旅费、培训费、维护维修，物业管理、其他商品服务支出等</w:t>
      </w:r>
      <w:r>
        <w:rPr>
          <w:rFonts w:ascii="方正仿宋_GBK" w:eastAsia="方正仿宋_GBK"/>
          <w:sz w:val="32"/>
          <w:szCs w:val="32"/>
        </w:rPr>
        <w:t>。</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4291.78</w:t>
      </w:r>
      <w:r>
        <w:rPr>
          <w:rFonts w:ascii="方正仿宋_GBK" w:hAnsi="方正仿宋_GBK" w:eastAsia="方正仿宋_GBK" w:cs="方正仿宋_GBK"/>
          <w:sz w:val="32"/>
          <w:szCs w:val="32"/>
          <w:shd w:val="clear" w:color="auto" w:fill="FFFFFF"/>
        </w:rPr>
        <w:t>万元，与2023年度相比，增加1553.43万元，增长56.7%，主要原因是垫江县松林小学幼儿园新建工程支出增加。本年支出</w:t>
      </w:r>
      <w:r>
        <w:rPr>
          <w:rFonts w:ascii="方正仿宋_GBK" w:hAnsi="方正仿宋_GBK" w:eastAsia="方正仿宋_GBK" w:cs="方正仿宋_GBK"/>
          <w:sz w:val="32"/>
          <w:szCs w:val="32"/>
        </w:rPr>
        <w:t>4291.78</w:t>
      </w:r>
      <w:r>
        <w:rPr>
          <w:rFonts w:ascii="方正仿宋_GBK" w:hAnsi="方正仿宋_GBK" w:eastAsia="方正仿宋_GBK" w:cs="方正仿宋_GBK"/>
          <w:sz w:val="32"/>
          <w:szCs w:val="32"/>
          <w:shd w:val="clear" w:color="auto" w:fill="FFFFFF"/>
        </w:rPr>
        <w:t>万元，与2023年度相比，增加1553.43万元，增长56.7%，主要原因是垫江县松林小学幼儿园新建工程支出增加。</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color w:val="000000" w:themeColor="text1"/>
          <w:sz w:val="32"/>
          <w:szCs w:val="32"/>
        </w:rPr>
        <w:t>本单位2024年度无国有资本经营预算财政拨款支出。</w:t>
      </w:r>
    </w:p>
    <w:p>
      <w:pPr>
        <w:pStyle w:val="6"/>
        <w:snapToGrid w:val="0"/>
        <w:spacing w:before="0" w:beforeAutospacing="0" w:after="0" w:afterAutospacing="0" w:line="600" w:lineRule="exact"/>
        <w:ind w:firstLine="643" w:firstLineChars="2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18.92</w:t>
      </w:r>
      <w:r>
        <w:rPr>
          <w:rFonts w:ascii="方正仿宋_GBK" w:hAnsi="方正仿宋_GBK" w:eastAsia="方正仿宋_GBK" w:cs="方正仿宋_GBK"/>
          <w:sz w:val="32"/>
          <w:szCs w:val="32"/>
          <w:shd w:val="clear" w:color="auto" w:fill="FFFFFF"/>
        </w:rPr>
        <w:t>万元，较年初预算数增加4.92万元，增长35.1%，主要原因是车</w:t>
      </w:r>
      <w:r>
        <w:rPr>
          <w:rFonts w:ascii="方正仿宋_GBK" w:eastAsia="方正仿宋_GBK"/>
          <w:sz w:val="32"/>
          <w:szCs w:val="32"/>
        </w:rPr>
        <w:t>辆老化致油耗及维修费、公务接待等支出增加。</w:t>
      </w:r>
      <w:r>
        <w:rPr>
          <w:rFonts w:ascii="方正仿宋_GBK" w:hAnsi="方正仿宋_GBK" w:eastAsia="方正仿宋_GBK" w:cs="方正仿宋_GBK"/>
          <w:sz w:val="32"/>
          <w:szCs w:val="32"/>
          <w:shd w:val="clear" w:color="auto" w:fill="FFFFFF"/>
        </w:rPr>
        <w:t>较上年支出数减少3.54万元，下降15.8%，主要原因是本年度压紧开支，严控“三公”经费支出。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color w:val="000000" w:themeColor="text1"/>
          <w:sz w:val="32"/>
          <w:szCs w:val="32"/>
        </w:rPr>
        <w:t>主要原因是年初预算数未安排因公出国（境）费用，也未发生因公出国（境）费用。</w:t>
      </w:r>
      <w:r>
        <w:rPr>
          <w:rFonts w:ascii="方正仿宋_GBK" w:hAnsi="方正仿宋_GBK" w:eastAsia="方正仿宋_GBK" w:cs="方正仿宋_GBK"/>
          <w:color w:val="000000" w:themeColor="text1"/>
          <w:sz w:val="32"/>
          <w:szCs w:val="32"/>
          <w:shd w:val="clear" w:color="auto" w:fill="FFFFFF"/>
        </w:rPr>
        <w:t>较上年支出数无增减，</w:t>
      </w:r>
      <w:r>
        <w:rPr>
          <w:rFonts w:ascii="方正仿宋_GBK" w:eastAsia="方正仿宋_GBK"/>
          <w:color w:val="000000" w:themeColor="text1"/>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公务车购置费</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万元。费用支出较年初预算数无增减，</w:t>
      </w:r>
      <w:r>
        <w:rPr>
          <w:rFonts w:ascii="方正仿宋_GBK" w:eastAsia="方正仿宋_GBK"/>
          <w:color w:val="000000" w:themeColor="text1"/>
          <w:sz w:val="32"/>
          <w:szCs w:val="32"/>
        </w:rPr>
        <w:t>主要原因是年初预算数未安排公务车购置费用</w:t>
      </w:r>
      <w:r>
        <w:rPr>
          <w:rFonts w:ascii="方正仿宋_GBK" w:hAnsi="方正仿宋_GBK" w:eastAsia="方正仿宋_GBK" w:cs="方正仿宋_GBK"/>
          <w:color w:val="000000" w:themeColor="text1"/>
          <w:sz w:val="32"/>
          <w:szCs w:val="32"/>
          <w:shd w:val="clear" w:color="auto" w:fill="FFFFFF"/>
        </w:rPr>
        <w:t>。较上年支出数无增减，</w:t>
      </w:r>
      <w:r>
        <w:rPr>
          <w:rFonts w:ascii="方正仿宋_GBK" w:eastAsia="方正仿宋_GBK"/>
          <w:color w:val="000000" w:themeColor="text1"/>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13.02</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cs="方正仿宋_GBK"/>
          <w:sz w:val="32"/>
          <w:szCs w:val="32"/>
        </w:rPr>
        <w:t>公务用车的油费、维修费、路桥费。</w:t>
      </w:r>
      <w:r>
        <w:rPr>
          <w:rFonts w:ascii="方正仿宋_GBK" w:hAnsi="方正仿宋_GBK" w:eastAsia="方正仿宋_GBK" w:cs="方正仿宋_GBK"/>
          <w:sz w:val="32"/>
          <w:szCs w:val="32"/>
          <w:shd w:val="clear" w:color="auto" w:fill="FFFFFF"/>
        </w:rPr>
        <w:t>费用支出较年初预算数增加5.02万元，增长62.8%，主要原因是公务用车使用量增加及</w:t>
      </w:r>
      <w:r>
        <w:rPr>
          <w:rFonts w:ascii="Times New Roman" w:hAnsi="Times New Roman" w:eastAsia="方正仿宋_GBK" w:cs="方正仿宋_GBK"/>
          <w:sz w:val="32"/>
          <w:szCs w:val="32"/>
        </w:rPr>
        <w:t>车</w:t>
      </w:r>
      <w:r>
        <w:rPr>
          <w:rFonts w:hint="eastAsia" w:ascii="Times New Roman" w:hAnsi="Times New Roman" w:eastAsia="方正仿宋_GBK" w:cs="方正仿宋_GBK"/>
          <w:sz w:val="32"/>
          <w:szCs w:val="32"/>
          <w:lang w:val="en-US" w:eastAsia="zh-CN"/>
        </w:rPr>
        <w:t>辆</w:t>
      </w:r>
      <w:r>
        <w:rPr>
          <w:rFonts w:ascii="Times New Roman" w:hAnsi="Times New Roman" w:eastAsia="方正仿宋_GBK" w:cs="方正仿宋_GBK"/>
          <w:sz w:val="32"/>
          <w:szCs w:val="32"/>
        </w:rPr>
        <w:t>老化造成维修费增加等。</w:t>
      </w:r>
      <w:r>
        <w:rPr>
          <w:rFonts w:ascii="方正仿宋_GBK" w:hAnsi="方正仿宋_GBK" w:eastAsia="方正仿宋_GBK" w:cs="方正仿宋_GBK"/>
          <w:sz w:val="32"/>
          <w:szCs w:val="32"/>
          <w:shd w:val="clear" w:color="auto" w:fill="FFFFFF"/>
        </w:rPr>
        <w:t>较上年支出数增加0.46万元，增长3.7%，主要原因是公务用车使用量增加及</w:t>
      </w:r>
      <w:r>
        <w:rPr>
          <w:rFonts w:ascii="Times New Roman" w:hAnsi="Times New Roman" w:eastAsia="方正仿宋_GBK" w:cs="方正仿宋_GBK"/>
          <w:sz w:val="32"/>
          <w:szCs w:val="32"/>
        </w:rPr>
        <w:t>车老化造成维修费增加等。</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5.90</w:t>
      </w:r>
      <w:r>
        <w:rPr>
          <w:rFonts w:ascii="方正仿宋_GBK" w:hAnsi="方正仿宋_GBK" w:eastAsia="方正仿宋_GBK" w:cs="方正仿宋_GBK"/>
          <w:sz w:val="32"/>
          <w:szCs w:val="32"/>
          <w:shd w:val="clear" w:color="auto" w:fill="FFFFFF"/>
        </w:rPr>
        <w:t>万元，主要用于接待</w:t>
      </w:r>
      <w:r>
        <w:rPr>
          <w:rFonts w:ascii="方正仿宋_GBK" w:eastAsia="方正仿宋_GBK"/>
          <w:sz w:val="32"/>
          <w:szCs w:val="32"/>
        </w:rPr>
        <w:t>引进</w:t>
      </w:r>
      <w:r>
        <w:rPr>
          <w:rFonts w:ascii="Times New Roman" w:hAnsi="Times New Roman" w:eastAsia="方正仿宋_GBK" w:cs="方正仿宋_GBK"/>
          <w:sz w:val="32"/>
          <w:szCs w:val="32"/>
        </w:rPr>
        <w:t>联合办学事宜，上级工作检查。</w:t>
      </w:r>
      <w:r>
        <w:rPr>
          <w:rFonts w:ascii="方正仿宋_GBK" w:hAnsi="方正仿宋_GBK" w:eastAsia="方正仿宋_GBK" w:cs="方正仿宋_GBK"/>
          <w:sz w:val="32"/>
          <w:szCs w:val="32"/>
          <w:shd w:val="clear" w:color="auto" w:fill="FFFFFF"/>
        </w:rPr>
        <w:t>费用支出较年初预算数减少0.10万元，下降1.7%，主要原</w:t>
      </w:r>
      <w:r>
        <w:rPr>
          <w:rFonts w:ascii="方正仿宋_GBK" w:hAnsi="方正仿宋_GBK" w:eastAsia="方正仿宋_GBK" w:cs="方正仿宋_GBK"/>
          <w:color w:val="000000" w:themeColor="text1"/>
          <w:sz w:val="32"/>
          <w:szCs w:val="32"/>
          <w:shd w:val="clear" w:color="auto" w:fill="FFFFFF"/>
        </w:rPr>
        <w:t>因是严格控制公务接待。</w:t>
      </w:r>
      <w:r>
        <w:rPr>
          <w:rFonts w:ascii="方正仿宋_GBK" w:hAnsi="方正仿宋_GBK" w:eastAsia="方正仿宋_GBK" w:cs="方正仿宋_GBK"/>
          <w:sz w:val="32"/>
          <w:szCs w:val="32"/>
          <w:shd w:val="clear" w:color="auto" w:fill="FFFFFF"/>
        </w:rPr>
        <w:t>较上年支出数减少4.00万元，下降40.4%，主要原因是严格控制公务接待。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86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738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79.96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6.51</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7.23</w:t>
      </w:r>
      <w:r>
        <w:rPr>
          <w:rFonts w:ascii="方正仿宋_GBK" w:hAnsi="方正仿宋_GBK" w:eastAsia="方正仿宋_GBK" w:cs="方正仿宋_GBK"/>
          <w:sz w:val="32"/>
          <w:szCs w:val="32"/>
          <w:shd w:val="clear" w:color="auto" w:fill="FFFFFF"/>
        </w:rPr>
        <w:t>万元，与2023年度相比，增加0.76万元，增长11.8%，主要原因是本年度各种业务会议增加。本年度培训费支出</w:t>
      </w:r>
      <w:r>
        <w:rPr>
          <w:rFonts w:ascii="方正仿宋_GBK" w:hAnsi="方正仿宋_GBK" w:eastAsia="方正仿宋_GBK" w:cs="方正仿宋_GBK"/>
          <w:sz w:val="32"/>
          <w:szCs w:val="32"/>
        </w:rPr>
        <w:t>3.91</w:t>
      </w:r>
      <w:r>
        <w:rPr>
          <w:rFonts w:ascii="方正仿宋_GBK" w:hAnsi="方正仿宋_GBK" w:eastAsia="方正仿宋_GBK" w:cs="方正仿宋_GBK"/>
          <w:sz w:val="32"/>
          <w:szCs w:val="32"/>
          <w:shd w:val="clear" w:color="auto" w:fill="FFFFFF"/>
        </w:rPr>
        <w:t>万元，与2023年度相比，增加0.66万元，增长20.3%，主要原因是本年安排培训增加。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75.36</w:t>
      </w:r>
      <w:r>
        <w:rPr>
          <w:rFonts w:ascii="方正仿宋_GBK" w:hAnsi="方正仿宋_GBK" w:eastAsia="方正仿宋_GBK" w:cs="方正仿宋_GBK"/>
          <w:sz w:val="32"/>
          <w:szCs w:val="32"/>
          <w:shd w:val="clear" w:color="auto" w:fill="FFFFFF"/>
        </w:rPr>
        <w:t>万元，机关运行经费主要用于开支</w:t>
      </w:r>
      <w:r>
        <w:rPr>
          <w:rFonts w:ascii="Times New Roman" w:hAnsi="Times New Roman" w:eastAsia="方正仿宋_GBK" w:cs="方正仿宋_GBK"/>
          <w:sz w:val="32"/>
          <w:szCs w:val="32"/>
        </w:rPr>
        <w:t>办公费、印刷费、水电费、邮电费、差旅费、培训费、维护维修，物业管理、其他商品服务支出等</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机关运行经费较上年支出数减少55.82万元，下降42.6%，主要原因是压缩支出，厉行节约。</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527.34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527.34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527.34万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527.34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w:t>
      </w:r>
      <w:r>
        <w:rPr>
          <w:rFonts w:ascii="Times New Roman" w:hAnsi="Times New Roman" w:eastAsia="方正仿宋_GBK" w:cs="方正仿宋_GBK"/>
          <w:sz w:val="32"/>
          <w:szCs w:val="32"/>
        </w:rPr>
        <w:t>网络系统、电脑、办公家具及学生课桌椅、食堂食品设施设备。</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1"/>
        <w:autoSpaceDE w:val="0"/>
        <w:ind w:firstLine="643"/>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（一）单位自评情况</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根据预算绩效管理要求，我单位对</w:t>
      </w:r>
      <w:r>
        <w:rPr>
          <w:rFonts w:ascii="方正仿宋_GBK" w:hAnsi="方正仿宋_GBK" w:eastAsia="方正仿宋_GBK" w:cs="方正仿宋_GBK"/>
          <w:color w:val="000000" w:themeColor="text1"/>
          <w:sz w:val="32"/>
          <w:szCs w:val="32"/>
          <w:shd w:val="clear" w:color="auto" w:fill="FFFFFF"/>
        </w:rPr>
        <w:t>1</w:t>
      </w:r>
      <w:r>
        <w:rPr>
          <w:rFonts w:hint="eastAsia" w:ascii="方正仿宋_GBK" w:hAnsi="方正仿宋_GBK" w:eastAsia="方正仿宋_GBK" w:cs="方正仿宋_GBK"/>
          <w:color w:val="000000" w:themeColor="text1"/>
          <w:sz w:val="32"/>
          <w:szCs w:val="32"/>
          <w:shd w:val="clear" w:color="auto" w:fill="FFFFFF"/>
        </w:rPr>
        <w:t>2个二级项目开展了绩效自评，涉及财政拨款项目支出资金4877.50万元。</w:t>
      </w:r>
    </w:p>
    <w:p>
      <w:pPr>
        <w:pStyle w:val="11"/>
        <w:autoSpaceDE w:val="0"/>
        <w:ind w:firstLine="480"/>
      </w:pPr>
      <w:r>
        <w:drawing>
          <wp:inline distT="0" distB="0" distL="0" distR="0">
            <wp:extent cx="5280025" cy="29444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80025" cy="2945005"/>
                    </a:xfrm>
                    <a:prstGeom prst="rect">
                      <a:avLst/>
                    </a:prstGeom>
                    <a:noFill/>
                    <a:ln>
                      <a:noFill/>
                    </a:ln>
                  </pic:spPr>
                </pic:pic>
              </a:graphicData>
            </a:graphic>
          </wp:inline>
        </w:drawing>
      </w:r>
      <w:r>
        <w:t xml:space="preserve"> </w:t>
      </w:r>
      <w:r>
        <w:drawing>
          <wp:inline distT="0" distB="0" distL="0" distR="0">
            <wp:extent cx="5280025" cy="2946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80025" cy="2946696"/>
                    </a:xfrm>
                    <a:prstGeom prst="rect">
                      <a:avLst/>
                    </a:prstGeom>
                    <a:noFill/>
                    <a:ln>
                      <a:noFill/>
                    </a:ln>
                  </pic:spPr>
                </pic:pic>
              </a:graphicData>
            </a:graphic>
          </wp:inline>
        </w:drawing>
      </w:r>
    </w:p>
    <w:p>
      <w:pPr>
        <w:pStyle w:val="11"/>
        <w:autoSpaceDE w:val="0"/>
        <w:ind w:firstLine="480"/>
        <w:rPr>
          <w:highlight w:val="red"/>
        </w:rPr>
      </w:pPr>
    </w:p>
    <w:p>
      <w:pPr>
        <w:pStyle w:val="11"/>
        <w:autoSpaceDE w:val="0"/>
        <w:ind w:firstLine="643"/>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（二）单位绩效评价情况</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我单位未组织开展绩效评价。</w:t>
      </w:r>
    </w:p>
    <w:p>
      <w:pPr>
        <w:pStyle w:val="11"/>
        <w:autoSpaceDE w:val="0"/>
        <w:ind w:firstLine="643"/>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（三）财政绩效评价情况</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w:t>
      </w:r>
      <w:bookmarkStart w:id="0" w:name="_GoBack"/>
      <w:bookmarkEnd w:id="0"/>
      <w:r>
        <w:rPr>
          <w:rFonts w:hint="eastAsia" w:ascii="方正仿宋_GBK" w:hAnsi="方正仿宋_GBK" w:eastAsia="方正仿宋_GBK" w:cs="方正仿宋_GBK"/>
          <w:sz w:val="32"/>
          <w:szCs w:val="32"/>
          <w:shd w:val="clear" w:color="auto" w:fill="FFFFFF"/>
        </w:rPr>
        <w:t>“事业收入”“经营收入”“其他收入”等不足以安排当年支出的情况下，使用以前年度积累的非财政拨款结余弥补本年度收支缺口的资金。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596" w:lineRule="exact"/>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shd w:val="clear" w:color="auto" w:fill="FFFFFF"/>
        </w:rPr>
        <w:t>王老师  023-74512214</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垫江县教育委员会（本级）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1,057.33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4,291.78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901.97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4,291.78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5,349.10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5,349.10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5,358.08</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5,358.08</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垫江县教育委员会（本级）</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5,349.10</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5,349.10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901.97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901.97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315.85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315.85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193.49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193.49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其他普通教育支出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359.19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359.19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359.19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359.19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4,291.78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4,291.78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4,291.78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4,291.78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4,291.78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4,291.78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垫江县教育委员会（本级）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5,349.10</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471.60</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4,877.50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901.97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316.48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585.49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315.85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315.85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193.49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193.49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其他普通教育支出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359.19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359.19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359.19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359.19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4,291.78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4,291.78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4,291.78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4,291.78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4,291.78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4,291.78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垫江县教育委员会（本级）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1,057.33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4,291.78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901.97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901.97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4,291.78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4,291.78</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5,349.10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5,349.10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4,291.78</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5,358.08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5,358.08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1,066.30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4,291.78</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垫江县教育委员会（本级）</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1,057.33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471.60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585.73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901.97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316.48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585.49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514.71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315.85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198.87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315.85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315.85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193.49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其他普通教育支出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359.19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359.19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359.19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359.19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110.77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110.77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110.77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垫江县教育委员会（本级）</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330.58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75.36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396.24</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75.36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垫江县教育委员会（本级）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4,291.78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4,291.78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4,291.78</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4,291.78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4,291.78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4,291.78</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22904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4,291.78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4,291.78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4,291.78</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2290402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4,291.78</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4,291.78</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4,291.78</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垫江县教育委员会（本级）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垫江县教育委员会（本级）</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75.36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18.92</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18.92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75.36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13.02</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13.02</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5.90</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86</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527.34</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527.34</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527.34</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527.34</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86.02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楷体_GBK">
    <w:altName w:val="Arial Unicode MS"/>
    <w:panose1 w:val="02000000000000000000"/>
    <w:charset w:val="86"/>
    <w:family w:val="script"/>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1261C"/>
    <w:rsid w:val="001D3BB7"/>
    <w:rsid w:val="002B254B"/>
    <w:rsid w:val="0034050A"/>
    <w:rsid w:val="003F6155"/>
    <w:rsid w:val="0044504F"/>
    <w:rsid w:val="00466C9B"/>
    <w:rsid w:val="00474DAD"/>
    <w:rsid w:val="00486CFC"/>
    <w:rsid w:val="00491DDD"/>
    <w:rsid w:val="00550ABE"/>
    <w:rsid w:val="00623A85"/>
    <w:rsid w:val="00727782"/>
    <w:rsid w:val="00770383"/>
    <w:rsid w:val="007819D4"/>
    <w:rsid w:val="007B419D"/>
    <w:rsid w:val="007B7C4B"/>
    <w:rsid w:val="007D3D39"/>
    <w:rsid w:val="0089693F"/>
    <w:rsid w:val="00984C6A"/>
    <w:rsid w:val="00994AF7"/>
    <w:rsid w:val="009B67B8"/>
    <w:rsid w:val="009C14C9"/>
    <w:rsid w:val="009D2B67"/>
    <w:rsid w:val="009E1452"/>
    <w:rsid w:val="00A566F9"/>
    <w:rsid w:val="00A61875"/>
    <w:rsid w:val="00AF2751"/>
    <w:rsid w:val="00B03CCD"/>
    <w:rsid w:val="00BE2B89"/>
    <w:rsid w:val="00BF0D89"/>
    <w:rsid w:val="00C10E9E"/>
    <w:rsid w:val="00C20C3E"/>
    <w:rsid w:val="00C21CF1"/>
    <w:rsid w:val="00C5163E"/>
    <w:rsid w:val="00CD4407"/>
    <w:rsid w:val="00CF2ACF"/>
    <w:rsid w:val="00D03AAF"/>
    <w:rsid w:val="00D12521"/>
    <w:rsid w:val="00DD0539"/>
    <w:rsid w:val="00E07662"/>
    <w:rsid w:val="00E2724F"/>
    <w:rsid w:val="00E368E9"/>
    <w:rsid w:val="00EE1E33"/>
    <w:rsid w:val="00F37ED2"/>
    <w:rsid w:val="00F73F90"/>
    <w:rsid w:val="00FA1BA4"/>
    <w:rsid w:val="00FA371A"/>
    <w:rsid w:val="00FB4B3B"/>
    <w:rsid w:val="00FD5C93"/>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400A95"/>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2D66BC"/>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E63DFF"/>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E821B0"/>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0F0F3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A47269"/>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24</Pages>
  <Words>6315</Words>
  <Characters>7891</Characters>
  <Lines>117</Lines>
  <Paragraphs>33</Paragraphs>
  <TotalTime>2</TotalTime>
  <ScaleCrop>false</ScaleCrop>
  <LinksUpToDate>false</LinksUpToDate>
  <CharactersWithSpaces>8177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2025-09-22T07:01:27Z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