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垫江县桂北小学校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0"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rPr>
      </w:pPr>
      <w:r>
        <w:rPr>
          <w:rFonts w:eastAsia="方正仿宋_GBK"/>
          <w:sz w:val="32"/>
        </w:rPr>
        <w:t>实施小学义务教育。适龄儿童义务教育；全面推进素质教育；学校卫生、安全、稳定；学校经费与校产管理；师资队伍建设；学前儿童教育与保育，制定本区域教育发展规划。</w:t>
      </w:r>
    </w:p>
    <w:p>
      <w:pPr>
        <w:spacing w:line="600" w:lineRule="exact"/>
        <w:ind w:firstLine="640" w:firstLineChars="200"/>
        <w:rPr>
          <w:rFonts w:hint="default" w:eastAsia="方正楷体_GBK"/>
          <w:b/>
          <w:sz w:val="32"/>
        </w:rPr>
      </w:pPr>
      <w:r>
        <w:rPr>
          <w:rFonts w:hAnsi="方正楷体_GBK" w:eastAsia="方正楷体_GBK"/>
          <w:b/>
          <w:sz w:val="32"/>
        </w:rPr>
        <w:t>（二）机构设置</w:t>
      </w:r>
    </w:p>
    <w:p>
      <w:pPr>
        <w:spacing w:line="600" w:lineRule="exact"/>
        <w:ind w:firstLine="640" w:firstLineChars="200"/>
        <w:rPr>
          <w:rFonts w:hint="default" w:eastAsia="方正仿宋_GBK"/>
          <w:sz w:val="32"/>
          <w:szCs w:val="32"/>
        </w:rPr>
      </w:pPr>
      <w:r>
        <w:rPr>
          <w:rFonts w:eastAsia="方正仿宋_GBK"/>
          <w:sz w:val="32"/>
        </w:rPr>
        <w:t>学校单位领导职数4名(校长1名、副校长3名)，内设机构领导职数4名，内设机构有德育处、教务处、教科处、后勤处。</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2024年度收入总计2754.59万元，支出总计</w:t>
      </w:r>
      <w:r>
        <w:rPr>
          <w:rFonts w:ascii="方正仿宋_GBK" w:hAnsi="方正仿宋_GBK" w:eastAsia="方正仿宋_GBK" w:cs="方正仿宋_GBK"/>
          <w:sz w:val="32"/>
          <w:szCs w:val="32"/>
        </w:rPr>
        <w:t>2754.59</w:t>
      </w:r>
      <w:r>
        <w:rPr>
          <w:rFonts w:ascii="方正仿宋_GBK" w:hAnsi="方正仿宋_GBK" w:eastAsia="方正仿宋_GBK" w:cs="方正仿宋_GBK"/>
          <w:sz w:val="32"/>
          <w:szCs w:val="32"/>
          <w:shd w:val="clear" w:color="auto" w:fill="FFFFFF"/>
        </w:rPr>
        <w:t>万元。收、支与2023年度相比，减少252.06万元，下降8.38%，主要原因是2023年清算补发以前年度超额绩效和健康休养费。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2024年度收入合计2726.27万元，与2023年度相比，减少178.79万元，下降6.15%，主要原因是2023年清算补发以前年度超额绩效和健康休养费。其中：财政拨款收入</w:t>
      </w:r>
      <w:r>
        <w:rPr>
          <w:rFonts w:ascii="方正仿宋_GBK" w:hAnsi="方正仿宋_GBK" w:eastAsia="方正仿宋_GBK" w:cs="方正仿宋_GBK"/>
          <w:sz w:val="32"/>
          <w:szCs w:val="32"/>
        </w:rPr>
        <w:t>2284.22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83.79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127.25</w:t>
      </w:r>
      <w:r>
        <w:rPr>
          <w:rFonts w:ascii="方正仿宋_GBK" w:hAnsi="方正仿宋_GBK" w:eastAsia="方正仿宋_GBK" w:cs="方正仿宋_GBK"/>
          <w:sz w:val="32"/>
          <w:szCs w:val="32"/>
          <w:shd w:val="clear" w:color="auto" w:fill="FFFFFF"/>
        </w:rPr>
        <w:t>万元，占4.67%；经营收入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314.80</w:t>
      </w:r>
      <w:r>
        <w:rPr>
          <w:rFonts w:ascii="方正仿宋_GBK" w:hAnsi="方正仿宋_GBK" w:eastAsia="方正仿宋_GBK" w:cs="方正仿宋_GBK"/>
          <w:sz w:val="32"/>
          <w:szCs w:val="32"/>
          <w:shd w:val="clear" w:color="auto" w:fill="FFFFFF"/>
        </w:rPr>
        <w:t>万元，占11.55%。此外，使用非财政拨款结余和专用结余</w:t>
      </w:r>
      <w:r>
        <w:rPr>
          <w:rFonts w:ascii="方正仿宋_GBK" w:hAnsi="方正仿宋_GBK" w:eastAsia="方正仿宋_GBK" w:cs="方正仿宋_GBK"/>
          <w:sz w:val="32"/>
          <w:szCs w:val="32"/>
        </w:rPr>
        <w:t>28.33</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2729.53</w:t>
      </w:r>
      <w:r>
        <w:rPr>
          <w:rFonts w:ascii="方正仿宋_GBK" w:hAnsi="方正仿宋_GBK" w:eastAsia="方正仿宋_GBK" w:cs="方正仿宋_GBK"/>
          <w:sz w:val="32"/>
          <w:szCs w:val="32"/>
          <w:shd w:val="clear" w:color="auto" w:fill="FFFFFF"/>
        </w:rPr>
        <w:t>万元，与2023年度相比，减少166.76万元，下降5.76%，主要原因是2023年清算补发以前年度超额绩效和健康休养费。其中：基本支出</w:t>
      </w:r>
      <w:r>
        <w:rPr>
          <w:rFonts w:ascii="方正仿宋_GBK" w:hAnsi="方正仿宋_GBK" w:eastAsia="方正仿宋_GBK" w:cs="方正仿宋_GBK"/>
          <w:sz w:val="32"/>
          <w:szCs w:val="32"/>
        </w:rPr>
        <w:t>2376.65</w:t>
      </w:r>
      <w:r>
        <w:rPr>
          <w:rFonts w:ascii="方正仿宋_GBK" w:hAnsi="方正仿宋_GBK" w:eastAsia="方正仿宋_GBK" w:cs="方正仿宋_GBK"/>
          <w:sz w:val="32"/>
          <w:szCs w:val="32"/>
          <w:shd w:val="clear" w:color="auto" w:fill="FFFFFF"/>
        </w:rPr>
        <w:t>万元，占87.07%；项目支出</w:t>
      </w:r>
      <w:r>
        <w:rPr>
          <w:rFonts w:ascii="方正仿宋_GBK" w:hAnsi="方正仿宋_GBK" w:eastAsia="方正仿宋_GBK" w:cs="方正仿宋_GBK"/>
          <w:sz w:val="32"/>
          <w:szCs w:val="32"/>
        </w:rPr>
        <w:t>352.88</w:t>
      </w:r>
      <w:r>
        <w:rPr>
          <w:rFonts w:ascii="方正仿宋_GBK" w:hAnsi="方正仿宋_GBK" w:eastAsia="方正仿宋_GBK" w:cs="方正仿宋_GBK"/>
          <w:sz w:val="32"/>
          <w:szCs w:val="32"/>
          <w:shd w:val="clear" w:color="auto" w:fill="FFFFFF"/>
        </w:rPr>
        <w:t>万元，占12.93%；经营支出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25.07</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2024年度财政拨款收、支总计2284.22万元。与2023年相比，财政拨款收、支总计各减少218.55万元，下降8.73%。主要原因是2023年清算补发以前年度超额绩效和健康休养费。</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2284.22</w:t>
      </w:r>
      <w:r>
        <w:rPr>
          <w:rFonts w:ascii="方正仿宋_GBK" w:hAnsi="方正仿宋_GBK" w:eastAsia="方正仿宋_GBK" w:cs="方正仿宋_GBK"/>
          <w:sz w:val="32"/>
          <w:szCs w:val="32"/>
          <w:shd w:val="clear" w:color="auto" w:fill="FFFFFF"/>
        </w:rPr>
        <w:t>万元，与2023年度相比，减少218.55万元，下降8.73%。主要原因是2023年清算补发以前年度超额绩效和健康休养费。较年初预算数增加128.24万元，增长5.95%。主要原因是超额绩效纳入养老保险和职业年金基数增加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2284.22</w:t>
      </w:r>
      <w:r>
        <w:rPr>
          <w:rFonts w:ascii="方正仿宋_GBK" w:hAnsi="方正仿宋_GBK" w:eastAsia="方正仿宋_GBK" w:cs="方正仿宋_GBK"/>
          <w:sz w:val="32"/>
          <w:szCs w:val="32"/>
          <w:shd w:val="clear" w:color="auto" w:fill="FFFFFF"/>
        </w:rPr>
        <w:t>万元，与2023年度相比，减少218.55万元，下降8.73%。主要原因是2023年清算补发以前年度超额绩效和健康休养费。较年初预算数增加128.24万元，增长5.95%。主要原因是超额绩效纳入养老保险和职业年金基数</w:t>
      </w:r>
      <w:r>
        <w:rPr>
          <w:rFonts w:hint="eastAsia" w:ascii="方正仿宋_GBK" w:hAnsi="方正仿宋_GBK" w:eastAsia="方正仿宋_GBK" w:cs="方正仿宋_GBK"/>
          <w:sz w:val="32"/>
          <w:szCs w:val="32"/>
          <w:shd w:val="clear" w:color="auto" w:fill="FFFFFF"/>
          <w:lang w:val="en-US" w:eastAsia="zh-CN"/>
        </w:rPr>
        <w:t>导</w:t>
      </w:r>
      <w:bookmarkStart w:id="0" w:name="_GoBack"/>
      <w:bookmarkEnd w:id="0"/>
      <w:r>
        <w:rPr>
          <w:rFonts w:ascii="方正仿宋_GBK" w:hAnsi="方正仿宋_GBK" w:eastAsia="方正仿宋_GBK" w:cs="方正仿宋_GBK"/>
          <w:sz w:val="32"/>
          <w:szCs w:val="32"/>
          <w:shd w:val="clear" w:color="auto" w:fill="FFFFFF"/>
        </w:rPr>
        <w:t>致预算增加。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1809.49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79.22</w:t>
      </w:r>
      <w:r>
        <w:rPr>
          <w:rFonts w:ascii="方正仿宋_GBK" w:hAnsi="方正仿宋_GBK" w:eastAsia="方正仿宋_GBK" w:cs="方正仿宋_GBK"/>
          <w:sz w:val="32"/>
          <w:szCs w:val="32"/>
          <w:shd w:val="clear" w:color="auto" w:fill="FFFFFF"/>
        </w:rPr>
        <w:t>%，较年初预算数增加32.03万元，增长1.80%，主要原因是本年预算执行中教职工正常晋升、岗位职级变化等人员经费增加所致。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293.67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12.86</w:t>
      </w:r>
      <w:r>
        <w:rPr>
          <w:rFonts w:ascii="方正仿宋_GBK" w:hAnsi="方正仿宋_GBK" w:eastAsia="方正仿宋_GBK" w:cs="方正仿宋_GBK"/>
          <w:sz w:val="32"/>
          <w:szCs w:val="32"/>
          <w:shd w:val="clear" w:color="auto" w:fill="FFFFFF"/>
        </w:rPr>
        <w:t>%，较年初预算数增加96.18万元，增长48.70%，主要原因是本年预算执行中将超额绩效纳入养老保险和职业年金基数所致。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82.36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3.61</w:t>
      </w:r>
      <w:r>
        <w:rPr>
          <w:rFonts w:ascii="方正仿宋_GBK" w:hAnsi="方正仿宋_GBK" w:eastAsia="方正仿宋_GBK" w:cs="方正仿宋_GBK"/>
          <w:sz w:val="32"/>
          <w:szCs w:val="32"/>
          <w:shd w:val="clear" w:color="auto" w:fill="FFFFFF"/>
        </w:rPr>
        <w:t>%，较年初预算数增加0.07万元，增长0.09%，主要原因是本年预算执行中教职工退休后减少了缴费基数。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住房保障支出98.70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4.32</w:t>
      </w:r>
      <w:r>
        <w:rPr>
          <w:rFonts w:ascii="方正仿宋_GBK" w:hAnsi="方正仿宋_GBK" w:eastAsia="方正仿宋_GBK" w:cs="方正仿宋_GBK"/>
          <w:sz w:val="32"/>
          <w:szCs w:val="32"/>
          <w:shd w:val="clear" w:color="auto" w:fill="FFFFFF"/>
        </w:rPr>
        <w:t>%，较年初预算数减少0.04万元，下降0.04%，主要原因是本年预算执行中教职工退休后减少了缴费基数。</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1931.42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1904.73</w:t>
      </w:r>
      <w:r>
        <w:rPr>
          <w:rFonts w:ascii="方正仿宋_GBK" w:hAnsi="方正仿宋_GBK" w:eastAsia="方正仿宋_GBK" w:cs="方正仿宋_GBK"/>
          <w:sz w:val="32"/>
          <w:szCs w:val="32"/>
          <w:shd w:val="clear" w:color="auto" w:fill="FFFFFF"/>
        </w:rPr>
        <w:t>万元，与2023年度相比，减少217.65万元，下降10.25%，主要原因是2023年清算补发以前年度超额绩效和健康休养费。人员经费用途主要包括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26.70</w:t>
      </w:r>
      <w:r>
        <w:rPr>
          <w:rFonts w:ascii="方正仿宋_GBK" w:hAnsi="方正仿宋_GBK" w:eastAsia="方正仿宋_GBK" w:cs="方正仿宋_GBK"/>
          <w:sz w:val="32"/>
          <w:szCs w:val="32"/>
          <w:shd w:val="clear" w:color="auto" w:fill="FFFFFF"/>
        </w:rPr>
        <w:t>万元，与2023年度相比，减少2.18万元，下降7.55%，主要原因是工会经费、培训费、福利费的预算基数减少所致。公用经费用途主要包括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exact"/>
        <w:ind w:firstLine="640"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5.01</w:t>
      </w:r>
      <w:r>
        <w:rPr>
          <w:rFonts w:ascii="方正仿宋_GBK" w:hAnsi="方正仿宋_GBK" w:eastAsia="方正仿宋_GBK" w:cs="方正仿宋_GBK"/>
          <w:sz w:val="32"/>
          <w:szCs w:val="32"/>
          <w:shd w:val="clear" w:color="auto" w:fill="FFFFFF"/>
        </w:rPr>
        <w:t>万元，与2023年度相比，减少2.37万元，下降32.11%，主要原因是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压缩公用经费支出，减少了师资队伍的培训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24.80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24.80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24.80万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24.80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教学用设备和学生课桌椅</w:t>
      </w:r>
      <w:r>
        <w:rPr>
          <w:rFonts w:ascii="方正仿宋_GBK" w:hAnsi="方正仿宋_GBK" w:eastAsia="方正仿宋_GBK" w:cs="方正仿宋_GBK"/>
          <w:sz w:val="32"/>
          <w:szCs w:val="32"/>
          <w:shd w:val="clear" w:color="auto" w:fill="FFFFFF"/>
        </w:rPr>
        <w:t>。</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根据预算绩效管理要求，我单位对10个二级项目开展了绩效自评，涉及财政拨款项目支出资金352.79万元。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426710" cy="5222875"/>
            <wp:effectExtent l="0" t="0" r="254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426710" cy="5222875"/>
                    </a:xfrm>
                    <a:prstGeom prst="rect">
                      <a:avLst/>
                    </a:prstGeom>
                    <a:noFill/>
                    <a:ln>
                      <a:noFill/>
                    </a:ln>
                  </pic:spPr>
                </pic:pic>
              </a:graphicData>
            </a:graphic>
          </wp:inline>
        </w:drawing>
      </w:r>
      <w:r>
        <w:drawing>
          <wp:inline distT="0" distB="0" distL="114300" distR="114300">
            <wp:extent cx="5426710" cy="5064125"/>
            <wp:effectExtent l="0" t="0" r="254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426710" cy="5064125"/>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张老师   023-74669305</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垫江县桂北小学校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2,284.22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2,254.80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314.80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2,726.27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2,729.53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2,754.59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2,754.59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垫江县桂北小学校</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2,726.27</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2,284.22</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127.25</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127.25</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314.80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2,251.54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1,809.49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127.25</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127.25</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314.80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2,247.78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127.25</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127.25</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314.80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127.25</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127.25</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2,007.74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1,692.95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314.80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垫江县桂北小学校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9"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69" w:hRule="exac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9"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9"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9"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9"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2,729.53</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2,376.65</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352.88</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2,254.80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1,901.92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2,251.04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1,898.16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1,982.68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1,738.72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243.96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垫江县桂北小学校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2,284.22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1,809.49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1,809.49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2,284.22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2,284.22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2,284.22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2,284.22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2,284.22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2,284.22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垫江县桂北小学校</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2,284.22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1,931.42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352.79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1,809.49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1,456.70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352.79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1,452.93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352.79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112.78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1,692.95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1,448.99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243.96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195.85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195.85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82.36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82.36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垫江县桂北小学校</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1,904.73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453.08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938.79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195.85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82.36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1,904.73</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垫江县桂北小学校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垫江县桂北小学校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垫江县桂北小学校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24.80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24.80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24.80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24.80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924CF"/>
    <w:rsid w:val="000C01CC"/>
    <w:rsid w:val="000D7702"/>
    <w:rsid w:val="00261065"/>
    <w:rsid w:val="002D0E5A"/>
    <w:rsid w:val="002E5443"/>
    <w:rsid w:val="002F6ECD"/>
    <w:rsid w:val="0032196C"/>
    <w:rsid w:val="003E0E0E"/>
    <w:rsid w:val="00466BA7"/>
    <w:rsid w:val="004C12FF"/>
    <w:rsid w:val="00550ABE"/>
    <w:rsid w:val="005B023C"/>
    <w:rsid w:val="00600322"/>
    <w:rsid w:val="006137D7"/>
    <w:rsid w:val="00634FA8"/>
    <w:rsid w:val="0063613A"/>
    <w:rsid w:val="006E2034"/>
    <w:rsid w:val="00732392"/>
    <w:rsid w:val="00792285"/>
    <w:rsid w:val="007A0D2E"/>
    <w:rsid w:val="007A3314"/>
    <w:rsid w:val="007B419D"/>
    <w:rsid w:val="008021F0"/>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11D38"/>
    <w:rsid w:val="00E654E2"/>
    <w:rsid w:val="00E76362"/>
    <w:rsid w:val="00F137D3"/>
    <w:rsid w:val="00F13C36"/>
    <w:rsid w:val="00F23C68"/>
    <w:rsid w:val="00F32C53"/>
    <w:rsid w:val="00F73F90"/>
    <w:rsid w:val="00F7623D"/>
    <w:rsid w:val="00F8598B"/>
    <w:rsid w:val="00FA0819"/>
    <w:rsid w:val="00FE3C54"/>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19562E"/>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8F3F6E"/>
    <w:rsid w:val="29310A5F"/>
    <w:rsid w:val="29C37A35"/>
    <w:rsid w:val="2A076083"/>
    <w:rsid w:val="2A73162E"/>
    <w:rsid w:val="2B167953"/>
    <w:rsid w:val="2B200583"/>
    <w:rsid w:val="2B8209DE"/>
    <w:rsid w:val="2C6762A3"/>
    <w:rsid w:val="2EBF7B3E"/>
    <w:rsid w:val="2EDE1934"/>
    <w:rsid w:val="2FCA4B37"/>
    <w:rsid w:val="2FDD76A4"/>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5FD70F7C"/>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3931E5"/>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CD12B57"/>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4924</Words>
  <Characters>5551</Characters>
  <Lines>96</Lines>
  <Paragraphs>27</Paragraphs>
  <TotalTime>0</TotalTime>
  <ScaleCrop>false</ScaleCrop>
  <LinksUpToDate>false</LinksUpToDate>
  <CharactersWithSpaces>5606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2025-09-23T02:16:53Z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CC910908FAD04C5BB1EEEAB7C10E97CB_13</vt:lpwstr>
  </property>
  <property fmtid="{D5CDD505-2E9C-101B-9397-08002B2CF9AE}" pid="4" name="KSOTemplateDocerSaveRecord">
    <vt:lpwstr>eyJoZGlkIjoiNjM0Zjk5YTc4NjQ1NmYyOGViZjRkNWIzZWJhYTE3YWEiLCJ1c2VySWQiOiIzODk0NTM2OTAifQ==</vt:lpwstr>
  </property>
</Properties>
</file>