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垫江县教委教育人事档案管理中心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spacing w:line="600" w:lineRule="exact"/>
        <w:ind w:firstLine="640" w:firstLineChars="200"/>
        <w:rPr>
          <w:rFonts w:ascii="方正仿宋_GBK" w:hAnsi="仿宋_GB2312" w:eastAsia="方正仿宋_GBK" w:cs="仿宋_GB2312"/>
          <w:sz w:val="32"/>
        </w:rPr>
      </w:pPr>
      <w:r>
        <w:rPr>
          <w:rFonts w:ascii="方正仿宋_GBK" w:hAnsi="仿宋_GB2312" w:eastAsia="方正仿宋_GBK" w:cs="仿宋_GB2312"/>
          <w:sz w:val="32"/>
        </w:rPr>
        <w:t>（一）职能职责</w:t>
      </w:r>
    </w:p>
    <w:p>
      <w:pPr>
        <w:pStyle w:val="17"/>
        <w:tabs>
          <w:tab w:val="center" w:pos="4153"/>
          <w:tab w:val="left" w:pos="7275"/>
        </w:tabs>
        <w:spacing w:line="600" w:lineRule="exact"/>
        <w:ind w:firstLine="960" w:firstLineChars="3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负责教育事业单位教职工人事档案的收集、整理、归档和保管工作；负责对教育事业单位教职工业务档案的收集、管理、利用和保护工作进行指导和检查；负责完成上级交办的其</w:t>
      </w:r>
      <w:r>
        <w:rPr>
          <w:rFonts w:hint="eastAsia" w:ascii="方正仿宋_GBK" w:hAnsi="方正仿宋_GBK" w:eastAsia="方正仿宋_GBK" w:cs="方正仿宋_GBK"/>
          <w:sz w:val="32"/>
          <w:lang w:val="en-US" w:eastAsia="zh-CN"/>
        </w:rPr>
        <w:t>他</w:t>
      </w:r>
      <w:r>
        <w:rPr>
          <w:rFonts w:hint="eastAsia" w:ascii="方正仿宋_GBK" w:hAnsi="方正仿宋_GBK" w:eastAsia="方正仿宋_GBK" w:cs="方正仿宋_GBK"/>
          <w:sz w:val="32"/>
        </w:rPr>
        <w:t>工作。</w:t>
      </w:r>
    </w:p>
    <w:p>
      <w:pPr>
        <w:pStyle w:val="17"/>
        <w:tabs>
          <w:tab w:val="center" w:pos="4153"/>
          <w:tab w:val="left" w:pos="7275"/>
        </w:tabs>
        <w:spacing w:line="600" w:lineRule="exact"/>
        <w:ind w:left="640" w:firstLine="0" w:firstLineChars="0"/>
        <w:jc w:val="left"/>
        <w:rPr>
          <w:rFonts w:hint="eastAsia" w:ascii="方正仿宋_GBK" w:hAnsi="仿宋_GB2312" w:eastAsia="方正仿宋_GBK" w:cs="仿宋_GB2312"/>
          <w:sz w:val="32"/>
        </w:rPr>
      </w:pPr>
      <w:r>
        <w:rPr>
          <w:rFonts w:hint="eastAsia" w:ascii="方正仿宋_GBK" w:hAnsi="仿宋_GB2312" w:eastAsia="方正仿宋_GBK" w:cs="仿宋_GB2312"/>
          <w:sz w:val="32"/>
        </w:rPr>
        <w:t>（二）单位构成</w:t>
      </w:r>
    </w:p>
    <w:p>
      <w:pPr>
        <w:spacing w:line="600" w:lineRule="exact"/>
        <w:ind w:firstLine="640" w:firstLineChars="200"/>
        <w:rPr>
          <w:rFonts w:ascii="方正仿宋_GBK" w:hAnsi="仿宋_GB2312" w:eastAsia="方正仿宋_GBK" w:cs="仿宋_GB2312"/>
          <w:sz w:val="32"/>
        </w:rPr>
      </w:pPr>
      <w:r>
        <w:rPr>
          <w:rFonts w:ascii="方正仿宋_GBK" w:hAnsi="仿宋_GB2312" w:eastAsia="方正仿宋_GBK" w:cs="仿宋_GB2312"/>
          <w:sz w:val="32"/>
        </w:rPr>
        <w:t>垫江县教委教育人事档案管理中心属于垫江县教育委员会下属事业单位，无内设机构。</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2024年度收入总计84.27万元，支出总计</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万元。收、支与2023年度相比，增加84.27万元，增长100.0%，主要原因是本单位是2024年新增加预算单位。</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2024年度收入合计84.27万元，与2023年度相比，增加84.27万元，增长100.0%，主要原因是2024年新增加预算单位。其中：财政拨款收入</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万元，与2023年度相比，增加84.27万元，增长100.0%，主要原因是2024年新增加预算单位。其中：基本支出</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万元，与2023年度相比，无增减，主要原因是2024年新增加预算单位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2024年度财政拨款收、支总计84.27万元。与2023年相比，财政拨款收、支总计各增加84.27万元，增长100.0%。主要原因是2024年新增加预算单位。</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万元，与2023年度相比，增加84.27万元，增长100.0%。主要原因是2024年新增加预算单位。较年初预算数增加84.27万元，增长100.0%。主要原因是2024年新增加预算单位。年初财政拨款结转和结余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万元，与2023年度相比，增加84.27万元，增长100.0%。主要原因是2024年新增加预算单位。较年初预算数增加84.27万元，增长100.0%。主要原因是2024年新增加预算单位。</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万元，与2023年度相比，无增减，主要原因是2024年新增加预算单位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72.0%</w:t>
      </w:r>
      <w:r>
        <w:rPr>
          <w:rFonts w:ascii="方正仿宋_GBK" w:hAnsi="方正仿宋_GBK" w:eastAsia="方正仿宋_GBK" w:cs="方正仿宋_GBK"/>
          <w:sz w:val="32"/>
          <w:szCs w:val="32"/>
          <w:shd w:val="clear" w:color="auto" w:fill="FFFFFF"/>
        </w:rPr>
        <w:t>，较年初预算数增加60.66万元，增长100.0%，主要原因是2024年新增加预算单位。</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14.51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17.2%</w:t>
      </w:r>
      <w:r>
        <w:rPr>
          <w:rFonts w:ascii="方正仿宋_GBK" w:hAnsi="方正仿宋_GBK" w:eastAsia="方正仿宋_GBK" w:cs="方正仿宋_GBK"/>
          <w:sz w:val="32"/>
          <w:szCs w:val="32"/>
          <w:shd w:val="clear" w:color="auto" w:fill="FFFFFF"/>
        </w:rPr>
        <w:t>，较年初预算数增加14.51万元，增长100.0%，主要原因是2024年新增加预算单位。</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w:t>
      </w:r>
      <w:r>
        <w:rPr>
          <w:rFonts w:ascii="方正仿宋_GBK" w:hAnsi="方正仿宋_GBK" w:eastAsia="方正仿宋_GBK" w:cs="方正仿宋_GBK"/>
          <w:sz w:val="32"/>
          <w:szCs w:val="32"/>
          <w:shd w:val="clear" w:color="auto" w:fill="FFFFFF"/>
        </w:rPr>
        <w:t>，较年初预算数增加4.14万元，增长100.0%，主要原因是2024年新增加预算单位。</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w:t>
      </w:r>
      <w:r>
        <w:rPr>
          <w:rFonts w:ascii="方正仿宋_GBK" w:hAnsi="方正仿宋_GBK" w:eastAsia="方正仿宋_GBK" w:cs="方正仿宋_GBK"/>
          <w:sz w:val="32"/>
          <w:szCs w:val="32"/>
          <w:shd w:val="clear" w:color="auto" w:fill="FFFFFF"/>
        </w:rPr>
        <w:t>，较年初预算数增加4.97万元，增长100.0%，主要原因是2024年新增加预算单位。</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hd w:val="clear" w:color="auto" w:fill="FFFFFF"/>
        <w:ind w:firstLine="640" w:firstLineChars="20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84.27</w:t>
      </w:r>
      <w:r>
        <w:rPr>
          <w:rFonts w:ascii="方正仿宋_GBK" w:hAnsi="方正仿宋_GBK" w:eastAsia="方正仿宋_GBK" w:cs="方正仿宋_GBK"/>
          <w:sz w:val="32"/>
          <w:szCs w:val="32"/>
          <w:shd w:val="clear" w:color="auto" w:fill="FFFFFF"/>
        </w:rPr>
        <w:t>万元，与2023年度相比，增加84.27万元，增长100.0%，主要原因是2024年新增加预算单位。人员经费用途</w:t>
      </w:r>
      <w:bookmarkStart w:id="0" w:name="_GoBack"/>
      <w:bookmarkEnd w:id="0"/>
      <w:r>
        <w:rPr>
          <w:rFonts w:ascii="方正仿宋_GBK" w:hAnsi="方正仿宋_GBK" w:eastAsia="方正仿宋_GBK" w:cs="方正仿宋_GBK"/>
          <w:color w:val="auto"/>
          <w:sz w:val="32"/>
          <w:szCs w:val="32"/>
        </w:rPr>
        <w:t>主要包括教师统发工资</w:t>
      </w:r>
      <w:r>
        <w:rPr>
          <w:rFonts w:ascii="方正仿宋_GBK" w:eastAsia="方正仿宋_GBK"/>
          <w:color w:val="auto"/>
          <w:sz w:val="32"/>
          <w:szCs w:val="32"/>
        </w:rPr>
        <w:t>、绩效工资、社会保障和就业支出、医疗卫生支出和住房保障支出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万元，与2023年度相比，无增减，主要原因是2024年新增加预算单位。公用经费用途主要包括</w:t>
      </w:r>
      <w:r>
        <w:rPr>
          <w:rFonts w:ascii="方正仿宋_GBK" w:eastAsia="方正仿宋_GBK"/>
          <w:color w:val="000000" w:themeColor="text1"/>
          <w:sz w:val="32"/>
          <w:szCs w:val="32"/>
        </w:rPr>
        <w:t>正常运行的办公支出、水电费等支出。</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2024年度国有资本经营预算财政拨</w:t>
      </w:r>
      <w:r>
        <w:rPr>
          <w:rFonts w:hint="eastAsia" w:ascii="方正仿宋_GBK" w:hAnsi="方正仿宋_GBK" w:eastAsia="方正仿宋_GBK" w:cs="方正仿宋_GBK"/>
          <w:color w:val="000000" w:themeColor="text1"/>
          <w:sz w:val="32"/>
          <w:szCs w:val="32"/>
          <w:shd w:val="clear" w:color="auto" w:fill="FFFFFF"/>
          <w:lang w:val="en-US" w:eastAsia="zh-CN"/>
        </w:rPr>
        <w:t>款</w:t>
      </w:r>
      <w:r>
        <w:rPr>
          <w:rFonts w:ascii="方正仿宋_GBK" w:hAnsi="方正仿宋_GBK" w:eastAsia="方正仿宋_GBK" w:cs="方正仿宋_GBK"/>
          <w:color w:val="000000" w:themeColor="text1"/>
          <w:sz w:val="32"/>
          <w:szCs w:val="32"/>
          <w:shd w:val="clear" w:color="auto" w:fill="FFFFFF"/>
        </w:rPr>
        <w:t>本年支出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万元，基本支出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万元，项目支出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r>
        <w:rPr>
          <w:rFonts w:ascii="方正仿宋_GBK" w:eastAsia="方正仿宋_GBK"/>
          <w:color w:val="000000" w:themeColor="text1"/>
          <w:sz w:val="32"/>
          <w:szCs w:val="32"/>
        </w:rPr>
        <w:t>。本单位2024年度无国有资本经营预算财政拨款支出。</w:t>
      </w:r>
    </w:p>
    <w:p>
      <w:pPr>
        <w:pStyle w:val="6"/>
        <w:shd w:val="clear" w:color="auto" w:fill="FFFFFF"/>
        <w:ind w:firstLine="643" w:firstLineChars="200"/>
        <w:rPr>
          <w:rStyle w:val="10"/>
          <w:rFonts w:hint="default" w:ascii="黑体" w:hAnsi="黑体" w:eastAsia="黑体" w:cs="黑体"/>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0"/>
        <w:rPr>
          <w:rFonts w:ascii="方正楷体_GBK" w:hAnsi="楷体" w:eastAsia="方正楷体_GBK" w:cs="楷体"/>
          <w:bCs/>
          <w:color w:val="000000" w:themeColor="text1"/>
          <w:lang w:bidi="ar"/>
        </w:rPr>
      </w:pPr>
      <w:r>
        <w:rPr>
          <w:rFonts w:hint="eastAsia" w:ascii="方正楷体_GBK" w:hAnsi="楷体" w:eastAsia="方正楷体_GBK" w:cs="楷体"/>
          <w:b/>
          <w:bCs/>
          <w:color w:val="000000" w:themeColor="text1"/>
          <w:sz w:val="32"/>
          <w:szCs w:val="32"/>
          <w:shd w:val="clear" w:color="auto" w:fill="FFFFFF"/>
          <w:lang w:bidi="ar"/>
        </w:rPr>
        <w:t>（一）“三公”经费支出总体情况说明</w:t>
      </w:r>
    </w:p>
    <w:p>
      <w:pPr>
        <w:ind w:firstLine="640" w:firstLineChars="200"/>
        <w:rPr>
          <w:rFonts w:hint="default" w:ascii="方正仿宋_GBK" w:eastAsia="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2024年度“三公”经费支出共计</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万元，较年初预算数无增减，</w:t>
      </w:r>
      <w:r>
        <w:rPr>
          <w:rFonts w:ascii="方正仿宋_GBK" w:eastAsia="方正仿宋_GBK"/>
          <w:color w:val="000000" w:themeColor="text1"/>
          <w:sz w:val="32"/>
          <w:szCs w:val="32"/>
        </w:rPr>
        <w:t>主要原因是年初预算数未安排“三公”经费支出。较上年支出数无增减，主要原因是上年和本年均未发生</w:t>
      </w:r>
      <w:r>
        <w:rPr>
          <w:rFonts w:ascii="方正仿宋_GBK" w:eastAsia="方正仿宋_GBK"/>
          <w:bCs/>
          <w:color w:val="000000" w:themeColor="text1"/>
          <w:sz w:val="32"/>
          <w:szCs w:val="32"/>
        </w:rPr>
        <w:t>“三公”经费开支</w:t>
      </w:r>
      <w:r>
        <w:rPr>
          <w:rFonts w:ascii="方正仿宋_GBK" w:eastAsia="方正仿宋_GBK"/>
          <w:color w:val="000000" w:themeColor="text1"/>
          <w:sz w:val="32"/>
          <w:szCs w:val="32"/>
        </w:rPr>
        <w:t>。</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 xml:space="preserve">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万元，与2023年度相比，无增减，主要原因是本单位是2024年新增预算单位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万元，与2023年度相比，无变化，主要原因是本单位是2024年新增预算单位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无培训费支出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2024年度本部门机关运行经费支出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万元，机关运行经费较上年支出数无增减，主要原因是按照部门决算列报口径，我</w:t>
      </w:r>
      <w:r>
        <w:rPr>
          <w:rFonts w:ascii="方正仿宋_GBK" w:eastAsia="方正仿宋_GBK"/>
          <w:bCs/>
          <w:color w:val="000000" w:themeColor="text1"/>
          <w:sz w:val="32"/>
          <w:szCs w:val="32"/>
        </w:rPr>
        <w:t>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rPr>
        <w:t>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1"/>
        <w:autoSpaceDE w:val="0"/>
        <w:ind w:firstLine="640"/>
        <w:rPr>
          <w:rFonts w:ascii="方正楷体_GBK" w:hAnsi="楷体" w:eastAsia="方正楷体_GBK" w:cs="楷体"/>
          <w:b/>
          <w:bCs/>
          <w:lang w:bidi="ar"/>
        </w:rPr>
      </w:pPr>
      <w:r>
        <w:rPr>
          <w:rFonts w:hint="eastAsia" w:ascii="方正楷体_GBK" w:hAnsi="楷体" w:eastAsia="方正楷体_GBK" w:cs="楷体"/>
          <w:b/>
          <w:bCs/>
          <w:color w:val="000000" w:themeColor="text1"/>
          <w:sz w:val="32"/>
          <w:szCs w:val="32"/>
          <w:shd w:val="clear" w:color="auto" w:fill="FFFFFF"/>
          <w:lang w:bidi="ar"/>
        </w:rPr>
        <w:t>（一）单位自评情况</w:t>
      </w:r>
    </w:p>
    <w:p>
      <w:pPr>
        <w:pStyle w:val="11"/>
        <w:autoSpaceDE w:val="0"/>
        <w:ind w:left="320"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根据预算绩效管理要求，我单位对0个二级项目开展了绩效自评，涉及财政拨款项目支出资金0.00万元。</w:t>
      </w:r>
    </w:p>
    <w:p>
      <w:pPr>
        <w:pStyle w:val="11"/>
        <w:autoSpaceDE w:val="0"/>
        <w:ind w:left="320" w:firstLine="0" w:firstLineChars="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（二）单位绩效评价情况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我单位未组织开展绩效评价。</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王老师   023-74512214</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垫江县教委教育人事档案管理中心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垫江县教委教育人事档案管理中心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84.27</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84.27</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垫江县教委教育人事档案管理中心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84.27</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84.27</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垫江县教委教育人事档案管理中心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垫江县教委教育人事档案管理中心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84.27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垫江县教委教育人事档案管理中心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84.27</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垫江县教委教育人事档案管理中心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垫江县教委教育人事档案管理中心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垫江县教委教育人事档案管理中心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53E96"/>
    <w:rsid w:val="001D3BB7"/>
    <w:rsid w:val="002B254B"/>
    <w:rsid w:val="00305CCA"/>
    <w:rsid w:val="0034050A"/>
    <w:rsid w:val="003B2A51"/>
    <w:rsid w:val="003B3D04"/>
    <w:rsid w:val="0044504F"/>
    <w:rsid w:val="00466C9B"/>
    <w:rsid w:val="00486CFC"/>
    <w:rsid w:val="00491DDD"/>
    <w:rsid w:val="00550ABE"/>
    <w:rsid w:val="00623A85"/>
    <w:rsid w:val="00701263"/>
    <w:rsid w:val="00770383"/>
    <w:rsid w:val="007819D4"/>
    <w:rsid w:val="007B419D"/>
    <w:rsid w:val="007B7C4B"/>
    <w:rsid w:val="007D3D39"/>
    <w:rsid w:val="00974C1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B0C3E"/>
    <w:rsid w:val="00DD0539"/>
    <w:rsid w:val="00E07662"/>
    <w:rsid w:val="00E368E9"/>
    <w:rsid w:val="00EE1E33"/>
    <w:rsid w:val="00F73F90"/>
    <w:rsid w:val="00FB4B3B"/>
    <w:rsid w:val="00FD3C10"/>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740A1C"/>
    <w:rsid w:val="163A6CEE"/>
    <w:rsid w:val="173708E3"/>
    <w:rsid w:val="17A31716"/>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49586E"/>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7C365A"/>
    <w:rsid w:val="53C0244D"/>
    <w:rsid w:val="53DD4D4E"/>
    <w:rsid w:val="53E578CE"/>
    <w:rsid w:val="541330F0"/>
    <w:rsid w:val="54272666"/>
    <w:rsid w:val="543B029D"/>
    <w:rsid w:val="54577F6C"/>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CE53A6"/>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styleId="17">
    <w:name w:val="List Paragraph"/>
    <w:basedOn w:val="1"/>
    <w:qFormat/>
    <w:uiPriority w:val="34"/>
    <w:pPr>
      <w:widowControl w:val="0"/>
      <w:ind w:firstLine="420" w:firstLineChars="200"/>
      <w:jc w:val="both"/>
    </w:pPr>
    <w:rPr>
      <w:rFonts w:hint="default"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6116</Words>
  <Characters>7508</Characters>
  <Lines>90</Lines>
  <Paragraphs>25</Paragraphs>
  <TotalTime>2</TotalTime>
  <ScaleCrop>false</ScaleCrop>
  <LinksUpToDate>false</LinksUpToDate>
  <CharactersWithSpaces>7932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2025-09-22T07:03:56Z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