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rPr>
      </w:pPr>
      <w:r>
        <w:rPr>
          <w:rFonts w:eastAsia="方正仿宋_GBK"/>
          <w:sz w:val="32"/>
        </w:rPr>
        <w:t>实施适龄小学义务教育；全面推进素质教育；学校卫生、安全、稳定；学校经费与校产管理；师资队伍建设；制定本区域教育发展规划。</w:t>
      </w:r>
    </w:p>
    <w:p>
      <w:pPr>
        <w:spacing w:line="600" w:lineRule="exact"/>
        <w:ind w:firstLine="643" w:firstLineChars="200"/>
        <w:rPr>
          <w:rFonts w:hint="default" w:eastAsia="方正楷体_GBK"/>
          <w:b/>
          <w:sz w:val="32"/>
        </w:rPr>
      </w:pPr>
      <w:r>
        <w:rPr>
          <w:rFonts w:eastAsia="方正楷体_GBK"/>
          <w:b/>
          <w:sz w:val="32"/>
        </w:rPr>
        <w:t>（二）机构设置</w:t>
      </w:r>
    </w:p>
    <w:p>
      <w:pPr>
        <w:pStyle w:val="6"/>
        <w:shd w:val="clear" w:color="auto" w:fill="FFFFFF"/>
        <w:spacing w:before="0" w:beforeAutospacing="0" w:after="0" w:afterAutospacing="0" w:line="600" w:lineRule="exact"/>
        <w:ind w:firstLine="640" w:firstLineChars="200"/>
        <w:rPr>
          <w:rFonts w:hint="default" w:eastAsia="方正仿宋_GBK"/>
          <w:sz w:val="32"/>
          <w:szCs w:val="32"/>
        </w:rPr>
      </w:pPr>
      <w:r>
        <w:rPr>
          <w:rFonts w:eastAsia="方正仿宋_GBK"/>
          <w:sz w:val="32"/>
        </w:rPr>
        <w:t>学校单位领导职数3名(校长1名、副校长2名)，内设机构领导职数4名，内设机构有德育处、教务处、教科处、后勤处</w:t>
      </w:r>
      <w:r>
        <w:rPr>
          <w:rFonts w:eastAsia="方正仿宋_GBK"/>
          <w:sz w:val="32"/>
          <w:szCs w:val="32"/>
        </w:rPr>
        <w:t>。</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2024年度收入总计1593.23万元，支出总计</w:t>
      </w:r>
      <w:r>
        <w:rPr>
          <w:rFonts w:ascii="方正仿宋_GBK" w:hAnsi="方正仿宋_GBK" w:eastAsia="方正仿宋_GBK" w:cs="方正仿宋_GBK"/>
          <w:sz w:val="32"/>
          <w:szCs w:val="32"/>
        </w:rPr>
        <w:t>1593.23</w:t>
      </w:r>
      <w:r>
        <w:rPr>
          <w:rFonts w:ascii="方正仿宋_GBK" w:hAnsi="方正仿宋_GBK" w:eastAsia="方正仿宋_GBK" w:cs="方正仿宋_GBK"/>
          <w:sz w:val="32"/>
          <w:szCs w:val="32"/>
          <w:shd w:val="clear" w:color="auto" w:fill="FFFFFF"/>
        </w:rPr>
        <w:t>万元。收、支与2023年度相比，减少703.01万元，下降30.62%，主要原因是2023年清算补发以前年度超额绩效和健康休养费、教学楼危改工程完工。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2024年度收入合计1565.71万元，与2023年度相比，减少661.64万元，下降29.71%，主要原因是2023年清算补发以前年度超额绩效和健康休养费、教学楼危改工程完工。其中：财政拨款收入</w:t>
      </w:r>
      <w:r>
        <w:rPr>
          <w:rFonts w:ascii="方正仿宋_GBK" w:hAnsi="方正仿宋_GBK" w:eastAsia="方正仿宋_GBK" w:cs="方正仿宋_GBK"/>
          <w:sz w:val="32"/>
          <w:szCs w:val="32"/>
        </w:rPr>
        <w:t>1512.18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96.58</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18.81</w:t>
      </w:r>
      <w:r>
        <w:rPr>
          <w:rFonts w:ascii="方正仿宋_GBK" w:hAnsi="方正仿宋_GBK" w:eastAsia="方正仿宋_GBK" w:cs="方正仿宋_GBK"/>
          <w:sz w:val="32"/>
          <w:szCs w:val="32"/>
          <w:shd w:val="clear" w:color="auto" w:fill="FFFFFF"/>
        </w:rPr>
        <w:t>万元，占1.20%；经营收入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34.72</w:t>
      </w:r>
      <w:r>
        <w:rPr>
          <w:rFonts w:ascii="方正仿宋_GBK" w:hAnsi="方正仿宋_GBK" w:eastAsia="方正仿宋_GBK" w:cs="方正仿宋_GBK"/>
          <w:sz w:val="32"/>
          <w:szCs w:val="32"/>
          <w:shd w:val="clear" w:color="auto" w:fill="FFFFFF"/>
        </w:rPr>
        <w:t>万元，占2.22%。此外，使用非财政拨款结余和专用结余</w:t>
      </w:r>
      <w:r>
        <w:rPr>
          <w:rFonts w:ascii="方正仿宋_GBK" w:hAnsi="方正仿宋_GBK" w:eastAsia="方正仿宋_GBK" w:cs="方正仿宋_GBK"/>
          <w:sz w:val="32"/>
          <w:szCs w:val="32"/>
        </w:rPr>
        <w:t>27.52</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1593.23</w:t>
      </w:r>
      <w:r>
        <w:rPr>
          <w:rFonts w:ascii="方正仿宋_GBK" w:hAnsi="方正仿宋_GBK" w:eastAsia="方正仿宋_GBK" w:cs="方正仿宋_GBK"/>
          <w:sz w:val="32"/>
          <w:szCs w:val="32"/>
          <w:shd w:val="clear" w:color="auto" w:fill="FFFFFF"/>
        </w:rPr>
        <w:t>万元，与2023年度相比，减少658.56万元，下降29.25%，主要原因是2023年清算补发以前年度超额绩效和健康休养费、教学楼危改工程完工。其中：基本支出</w:t>
      </w:r>
      <w:r>
        <w:rPr>
          <w:rFonts w:ascii="方正仿宋_GBK" w:hAnsi="方正仿宋_GBK" w:eastAsia="方正仿宋_GBK" w:cs="方正仿宋_GBK"/>
          <w:sz w:val="32"/>
          <w:szCs w:val="32"/>
        </w:rPr>
        <w:t>1470.38</w:t>
      </w:r>
      <w:r>
        <w:rPr>
          <w:rFonts w:ascii="方正仿宋_GBK" w:hAnsi="方正仿宋_GBK" w:eastAsia="方正仿宋_GBK" w:cs="方正仿宋_GBK"/>
          <w:sz w:val="32"/>
          <w:szCs w:val="32"/>
          <w:shd w:val="clear" w:color="auto" w:fill="FFFFFF"/>
        </w:rPr>
        <w:t>万元，占92.29%；项目支出</w:t>
      </w:r>
      <w:r>
        <w:rPr>
          <w:rFonts w:ascii="方正仿宋_GBK" w:hAnsi="方正仿宋_GBK" w:eastAsia="方正仿宋_GBK" w:cs="方正仿宋_GBK"/>
          <w:sz w:val="32"/>
          <w:szCs w:val="32"/>
        </w:rPr>
        <w:t>122.85</w:t>
      </w:r>
      <w:r>
        <w:rPr>
          <w:rFonts w:ascii="方正仿宋_GBK" w:hAnsi="方正仿宋_GBK" w:eastAsia="方正仿宋_GBK" w:cs="方正仿宋_GBK"/>
          <w:sz w:val="32"/>
          <w:szCs w:val="32"/>
          <w:shd w:val="clear" w:color="auto" w:fill="FFFFFF"/>
        </w:rPr>
        <w:t>万元，占7.71%；经营支出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2024年度财政拨款收、支总计1512.18万元。与2023年相比，财政拨款收、支总计各减少645.04万元，下降29.90%。主要原因是2023年清算补发以前年度超额绩效和健康休养费。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1506.18</w:t>
      </w:r>
      <w:r>
        <w:rPr>
          <w:rFonts w:ascii="方正仿宋_GBK" w:hAnsi="方正仿宋_GBK" w:eastAsia="方正仿宋_GBK" w:cs="方正仿宋_GBK"/>
          <w:sz w:val="32"/>
          <w:szCs w:val="32"/>
          <w:shd w:val="clear" w:color="auto" w:fill="FFFFFF"/>
        </w:rPr>
        <w:t>万元，与2023年度相比，减少332.33万元，下降18.08%。主要原因是2023年清算补发以前年度超额绩效和健康休养费。较年初预算数增加130.10万元，增长9.45%。主要原因是超额绩效纳入养老保险和职业年金缴费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1506.18</w:t>
      </w:r>
      <w:r>
        <w:rPr>
          <w:rFonts w:ascii="方正仿宋_GBK" w:hAnsi="方正仿宋_GBK" w:eastAsia="方正仿宋_GBK" w:cs="方正仿宋_GBK"/>
          <w:sz w:val="32"/>
          <w:szCs w:val="32"/>
          <w:shd w:val="clear" w:color="auto" w:fill="FFFFFF"/>
        </w:rPr>
        <w:t>万元，与2023年度相比，减少332.46万元，下降18.08%。主要原因是2023年清算补发以前年度超额绩效和健康休养费。较年初预算数增加130.10万元，增长9.45%。主要原因是超额绩效纳入养老保险和职业年金缴费基数。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1012.39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67.22</w:t>
      </w:r>
      <w:r>
        <w:rPr>
          <w:rFonts w:ascii="方正仿宋_GBK" w:hAnsi="方正仿宋_GBK" w:eastAsia="方正仿宋_GBK" w:cs="方正仿宋_GBK"/>
          <w:sz w:val="32"/>
          <w:szCs w:val="32"/>
          <w:shd w:val="clear" w:color="auto" w:fill="FFFFFF"/>
        </w:rPr>
        <w:t>%，较年初预算数增加45.95万元，增长4.75%，主要原因是本年预算执行中因教职工正常晋升、岗位职级变化等人员经费增加所致。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377.36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25.05</w:t>
      </w:r>
      <w:r>
        <w:rPr>
          <w:rFonts w:ascii="方正仿宋_GBK" w:hAnsi="方正仿宋_GBK" w:eastAsia="方正仿宋_GBK" w:cs="方正仿宋_GBK"/>
          <w:sz w:val="32"/>
          <w:szCs w:val="32"/>
          <w:shd w:val="clear" w:color="auto" w:fill="FFFFFF"/>
        </w:rPr>
        <w:t>%，较年初预算数增加91.04万元，增长31.80%，主要原因是本年预算执行中将超额绩效纳入养老保险和职业年金基数增加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52.19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3.47</w:t>
      </w:r>
      <w:r>
        <w:rPr>
          <w:rFonts w:ascii="方正仿宋_GBK" w:hAnsi="方正仿宋_GBK" w:eastAsia="方正仿宋_GBK" w:cs="方正仿宋_GBK"/>
          <w:sz w:val="32"/>
          <w:szCs w:val="32"/>
          <w:shd w:val="clear" w:color="auto" w:fill="FFFFFF"/>
        </w:rPr>
        <w:t>%，较年初预算数减少3.87万元，下降6.90%，主要原因是本年预算执行中因教职工退休后减少了缴费基数。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住房保障支出64.23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4.26</w:t>
      </w:r>
      <w:r>
        <w:rPr>
          <w:rFonts w:ascii="方正仿宋_GBK" w:hAnsi="方正仿宋_GBK" w:eastAsia="方正仿宋_GBK" w:cs="方正仿宋_GBK"/>
          <w:sz w:val="32"/>
          <w:szCs w:val="32"/>
          <w:shd w:val="clear" w:color="auto" w:fill="FFFFFF"/>
        </w:rPr>
        <w:t>%，较年初预算数减少3.04万元，下降4.52%，主要原因是本年预算执行中因教职工退休后减少了缴费基数。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1389.33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1362.20</w:t>
      </w:r>
      <w:r>
        <w:rPr>
          <w:rFonts w:ascii="方正仿宋_GBK" w:hAnsi="方正仿宋_GBK" w:eastAsia="方正仿宋_GBK" w:cs="方正仿宋_GBK"/>
          <w:sz w:val="32"/>
          <w:szCs w:val="32"/>
          <w:shd w:val="clear" w:color="auto" w:fill="FFFFFF"/>
        </w:rPr>
        <w:t>万元，与2023年度相比，减少287.22万元，下降17.41%，主要原因是2023年清算补发以前年度超额绩效和健康休养费。人员经费用途主要包括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27.13</w:t>
      </w:r>
      <w:r>
        <w:rPr>
          <w:rFonts w:ascii="方正仿宋_GBK" w:hAnsi="方正仿宋_GBK" w:eastAsia="方正仿宋_GBK" w:cs="方正仿宋_GBK"/>
          <w:sz w:val="32"/>
          <w:szCs w:val="32"/>
          <w:shd w:val="clear" w:color="auto" w:fill="FFFFFF"/>
        </w:rPr>
        <w:t>万元，与2023年度相比，减少2.84万元，下降9.48%，主要原因是工会经费、培训费、福利费的预算基数减少所致。公用经费用途主要包括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万元，与2023年度相比，减少312.58万元，下降98.12%；本年支出</w:t>
      </w:r>
      <w:r>
        <w:rPr>
          <w:rFonts w:ascii="方正仿宋_GBK" w:hAnsi="方正仿宋_GBK" w:eastAsia="方正仿宋_GBK" w:cs="方正仿宋_GBK"/>
          <w:sz w:val="32"/>
          <w:szCs w:val="32"/>
        </w:rPr>
        <w:t>6.00</w:t>
      </w:r>
      <w:r>
        <w:rPr>
          <w:rFonts w:ascii="方正仿宋_GBK" w:hAnsi="方正仿宋_GBK" w:eastAsia="方正仿宋_GBK" w:cs="方正仿宋_GBK"/>
          <w:sz w:val="32"/>
          <w:szCs w:val="32"/>
          <w:shd w:val="clear" w:color="auto" w:fill="FFFFFF"/>
        </w:rPr>
        <w:t>万元，与2023年度相比，减少312.58万元，下降98.12%，主要原因是2023年教学楼危改工程完工后财政拨入政府性基金减少。</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5.30</w:t>
      </w:r>
      <w:r>
        <w:rPr>
          <w:rFonts w:ascii="方正仿宋_GBK" w:hAnsi="方正仿宋_GBK" w:eastAsia="方正仿宋_GBK" w:cs="方正仿宋_GBK"/>
          <w:sz w:val="32"/>
          <w:szCs w:val="32"/>
          <w:shd w:val="clear" w:color="auto" w:fill="FFFFFF"/>
        </w:rPr>
        <w:t>万元，与2023年度相比，减少3.45万元，下降39.43%，主要原因是学校压缩公用经费支出，减少了师资队伍的培训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lang w:val="en-US" w:eastAsia="zh-CN"/>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个二级项目开展了绩效自评，涉及财政拨款项目支出资金116.85万元。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eastAsia" w:ascii="楷体" w:hAnsi="楷体" w:eastAsia="楷体" w:cs="宋体"/>
          <w:b/>
          <w:bCs/>
          <w:color w:val="000000"/>
          <w:sz w:val="32"/>
          <w:szCs w:val="32"/>
          <w:highlight w:val="red"/>
          <w:shd w:val="clear" w:color="auto" w:fill="FFFFFF"/>
          <w:lang w:eastAsia="zh-CN"/>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380990" cy="5086985"/>
            <wp:effectExtent l="0" t="0" r="63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80990" cy="5086985"/>
                    </a:xfrm>
                    <a:prstGeom prst="rect">
                      <a:avLst/>
                    </a:prstGeom>
                    <a:noFill/>
                    <a:ln>
                      <a:noFill/>
                    </a:ln>
                  </pic:spPr>
                </pic:pic>
              </a:graphicData>
            </a:graphic>
          </wp:inline>
        </w:drawing>
      </w:r>
      <w:r>
        <w:t xml:space="preserve"> </w:t>
      </w:r>
      <w:r>
        <w:drawing>
          <wp:inline distT="0" distB="0" distL="114300" distR="114300">
            <wp:extent cx="5415280" cy="4946015"/>
            <wp:effectExtent l="0" t="0" r="444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15280"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bookmarkStart w:id="0" w:name="_GoBack"/>
      <w:bookmarkEnd w:id="0"/>
      <w:r>
        <w:rPr>
          <w:rFonts w:ascii="方正仿宋_GBK" w:hAnsi="方正仿宋_GBK" w:eastAsia="方正仿宋_GBK" w:cs="方正仿宋_GBK"/>
          <w:sz w:val="32"/>
          <w:szCs w:val="32"/>
          <w:shd w:val="clear" w:color="auto" w:fill="FFFFFF"/>
        </w:rPr>
        <w:t>“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rPr>
        <w:t>徐老师   023- 74566761</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垫江县高峰小学校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1,506.18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377.36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1,565.71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1,593.23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1,593.23</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垫江县高峰小学校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1,565.71</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1,512.18</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18.81</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18.81</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34.72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1,065.92</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1,012.39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1,063.25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1,009.72</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18.81</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43.32</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18.81</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1,019.93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985.21</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182.08</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182.08</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垫江县高峰小学校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29"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9"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1,593.23</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1,470.38</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122.85</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1,093.44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977.14</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1,090.77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974.47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116.30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51.24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24.51</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1,039.53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947.73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376.82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376.82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181.53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29"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用于教育事业的彩票公益金支出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垫江县高峰小学校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1,506.18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1,012.39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377.36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1,512.18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1,512.18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1,512.18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1,506.18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垫江县高峰小学校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1,506.18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1,389.33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1,012.39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896.09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1,009.72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893.42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116.30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985.21</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893.42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376.82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376.82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130.54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64.75</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182.08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181.53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52.19</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52.19</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64.23</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64.23</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垫江县高峰小学校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1,180.67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276.21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39.84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542.27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130.54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64.23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181.53</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134.06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1,362.20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27.13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垫江县高峰小学校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2296004</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用于教育事业的彩票公益金支出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垫江县高峰小学校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垫江县高峰小学校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5.30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E1B2F"/>
    <w:rsid w:val="00466C9B"/>
    <w:rsid w:val="00490E91"/>
    <w:rsid w:val="00550ABE"/>
    <w:rsid w:val="006F48FD"/>
    <w:rsid w:val="00770383"/>
    <w:rsid w:val="007819D4"/>
    <w:rsid w:val="007B419D"/>
    <w:rsid w:val="007B7C4B"/>
    <w:rsid w:val="007D3D39"/>
    <w:rsid w:val="00994AF7"/>
    <w:rsid w:val="009B67B8"/>
    <w:rsid w:val="009D2B67"/>
    <w:rsid w:val="00A566F9"/>
    <w:rsid w:val="00AB6954"/>
    <w:rsid w:val="00AF2751"/>
    <w:rsid w:val="00B03CCD"/>
    <w:rsid w:val="00BE2B89"/>
    <w:rsid w:val="00C10E9E"/>
    <w:rsid w:val="00C20C3E"/>
    <w:rsid w:val="00C3721E"/>
    <w:rsid w:val="00CF2ACF"/>
    <w:rsid w:val="00D71DF1"/>
    <w:rsid w:val="00F73F90"/>
    <w:rsid w:val="00FB4B3B"/>
    <w:rsid w:val="00FE31CD"/>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4E1AD3"/>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AD04A35"/>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816E8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8770C5"/>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6B0D83"/>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8532</Words>
  <Characters>11342</Characters>
  <Lines>101</Lines>
  <Paragraphs>28</Paragraphs>
  <TotalTime>0</TotalTime>
  <ScaleCrop>false</ScaleCrop>
  <LinksUpToDate>false</LinksUpToDate>
  <CharactersWithSpaces>12443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2025-09-22T08:38:33Z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