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垫江县太平小学校</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2024年度决算公开说明</w:t>
      </w:r>
    </w:p>
    <w:p>
      <w:pPr>
        <w:spacing w:line="600" w:lineRule="exact"/>
        <w:ind w:firstLine="640" w:firstLineChars="200"/>
        <w:rPr>
          <w:rFonts w:ascii="方正黑体_GBK" w:hAnsi="黑体" w:eastAsia="方正黑体_GBK" w:cs="仿宋_GB2312"/>
          <w:sz w:val="32"/>
          <w:szCs w:val="32"/>
        </w:rPr>
      </w:pP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一、单位基本情况</w:t>
      </w:r>
    </w:p>
    <w:p>
      <w:pPr>
        <w:spacing w:line="600" w:lineRule="exact"/>
        <w:ind w:firstLine="640" w:firstLineChars="200"/>
        <w:rPr>
          <w:rFonts w:hint="default" w:eastAsia="方正楷体_GBK"/>
          <w:b/>
          <w:bCs/>
          <w:sz w:val="32"/>
          <w:szCs w:val="32"/>
        </w:rPr>
      </w:pPr>
      <w:r>
        <w:rPr>
          <w:rFonts w:eastAsia="方正楷体_GBK"/>
          <w:b/>
          <w:bCs/>
          <w:sz w:val="32"/>
          <w:szCs w:val="32"/>
        </w:rPr>
        <w:t>（一）职能职责</w:t>
      </w:r>
    </w:p>
    <w:p>
      <w:pPr>
        <w:spacing w:line="600" w:lineRule="exact"/>
        <w:ind w:firstLine="640" w:firstLineChars="200"/>
        <w:rPr>
          <w:rFonts w:hint="default" w:eastAsia="方正仿宋_GBK"/>
          <w:sz w:val="32"/>
          <w:szCs w:val="32"/>
        </w:rPr>
      </w:pPr>
      <w:r>
        <w:rPr>
          <w:rFonts w:eastAsia="方正仿宋_GBK"/>
          <w:sz w:val="32"/>
          <w:szCs w:val="32"/>
        </w:rPr>
        <w:t>1．负责辖区适龄儿童义务教育工作；负责辖区学前儿童教育与保育工作。</w:t>
      </w:r>
    </w:p>
    <w:p>
      <w:pPr>
        <w:spacing w:line="600" w:lineRule="exact"/>
        <w:ind w:firstLine="640" w:firstLineChars="200"/>
        <w:rPr>
          <w:rFonts w:hint="default" w:eastAsia="方正仿宋_GBK"/>
          <w:sz w:val="32"/>
          <w:szCs w:val="32"/>
        </w:rPr>
      </w:pPr>
      <w:r>
        <w:rPr>
          <w:rFonts w:eastAsia="方正仿宋_GBK"/>
          <w:sz w:val="32"/>
          <w:szCs w:val="32"/>
        </w:rPr>
        <w:t>2．受县教育行政部门委托，负责所在乡镇各学校（不含直属学校），做好党的教育方针及教育法规贯彻落实，做好所在乡镇的义务教育，全面推进素质教育。制定并实施本乡镇教育发展规划；负责学校教育教学、教育科研、师资队伍、学校经费收支与校产管理与指导；负责教育统计；负责学校卫生、安全、稳定工作；负责落实其他工作。协助所在乡镇人民政府做好适龄青少年依法接受义务教育的工作。</w:t>
      </w:r>
    </w:p>
    <w:p>
      <w:pPr>
        <w:spacing w:line="600" w:lineRule="exact"/>
        <w:ind w:firstLine="640" w:firstLineChars="200"/>
        <w:rPr>
          <w:rFonts w:hint="default" w:eastAsia="方正楷体_GBK"/>
          <w:b/>
          <w:sz w:val="32"/>
          <w:szCs w:val="32"/>
        </w:rPr>
      </w:pPr>
      <w:r>
        <w:rPr>
          <w:rFonts w:eastAsia="方正楷体_GBK"/>
          <w:b/>
          <w:sz w:val="32"/>
          <w:szCs w:val="32"/>
        </w:rPr>
        <w:t>（二）机构设置</w:t>
      </w:r>
    </w:p>
    <w:p>
      <w:pPr>
        <w:pStyle w:val="6"/>
        <w:shd w:val="clear" w:color="auto" w:fill="FFFFFF"/>
        <w:spacing w:before="0" w:beforeAutospacing="0" w:after="0" w:afterAutospacing="0" w:line="600" w:lineRule="exact"/>
        <w:ind w:firstLine="640" w:firstLineChars="200"/>
        <w:rPr>
          <w:rFonts w:hint="default" w:eastAsia="方正仿宋_GBK"/>
          <w:sz w:val="32"/>
          <w:szCs w:val="32"/>
        </w:rPr>
      </w:pPr>
      <w:r>
        <w:rPr>
          <w:rFonts w:eastAsia="方正仿宋_GBK"/>
          <w:sz w:val="32"/>
          <w:szCs w:val="32"/>
        </w:rPr>
        <w:t>学校单位领导职数4名，其中：校长1名、副校长3名；内设机构领导职数4名。内设机构有德育处、教务处、教</w:t>
      </w:r>
      <w:r>
        <w:rPr>
          <w:rFonts w:hint="eastAsia" w:eastAsia="方正仿宋_GBK"/>
          <w:sz w:val="32"/>
          <w:szCs w:val="32"/>
          <w:lang w:val="en-US" w:eastAsia="zh-CN"/>
        </w:rPr>
        <w:t>科</w:t>
      </w:r>
      <w:r>
        <w:rPr>
          <w:rFonts w:eastAsia="方正仿宋_GBK"/>
          <w:sz w:val="32"/>
          <w:szCs w:val="32"/>
        </w:rPr>
        <w:t>处、后勤处。</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二、单位决算收支情况说明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pStyle w:val="6"/>
        <w:shd w:val="clear" w:color="auto" w:fill="FFFFFF"/>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2024年度收入总计4133.91万元，支出总计</w:t>
      </w:r>
      <w:r>
        <w:rPr>
          <w:rFonts w:ascii="方正仿宋_GBK" w:hAnsi="方正仿宋_GBK" w:eastAsia="方正仿宋_GBK" w:cs="方正仿宋_GBK"/>
          <w:sz w:val="32"/>
          <w:szCs w:val="32"/>
        </w:rPr>
        <w:t>4133.91</w:t>
      </w:r>
      <w:r>
        <w:rPr>
          <w:rFonts w:ascii="方正仿宋_GBK" w:hAnsi="方正仿宋_GBK" w:eastAsia="方正仿宋_GBK" w:cs="方正仿宋_GBK"/>
          <w:sz w:val="32"/>
          <w:szCs w:val="32"/>
          <w:shd w:val="clear" w:color="auto" w:fill="FFFFFF"/>
        </w:rPr>
        <w:t>万元。收、支与2023年度相比，减少162.23万元，下降3.78%，主要原因是2023年清算补发以前年度超额绩效和健康休养费。</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2024年度收入合计4080.84万元，与2023年度相比，减少6.49万元，下降0.16%，主要原因是2023年清算补发以前年度超额绩效和健康休养费。其中：财政拨款收入</w:t>
      </w:r>
      <w:r>
        <w:rPr>
          <w:rFonts w:ascii="方正仿宋_GBK" w:hAnsi="方正仿宋_GBK" w:eastAsia="方正仿宋_GBK" w:cs="方正仿宋_GBK"/>
          <w:sz w:val="32"/>
          <w:szCs w:val="32"/>
        </w:rPr>
        <w:t>3906.59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95.73</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174.25</w:t>
      </w:r>
      <w:r>
        <w:rPr>
          <w:rFonts w:ascii="方正仿宋_GBK" w:hAnsi="方正仿宋_GBK" w:eastAsia="方正仿宋_GBK" w:cs="方正仿宋_GBK"/>
          <w:sz w:val="32"/>
          <w:szCs w:val="32"/>
          <w:shd w:val="clear" w:color="auto" w:fill="FFFFFF"/>
        </w:rPr>
        <w:t>万元，占4.27%。此外，使用非财政拨款结余和专用结余</w:t>
      </w:r>
      <w:r>
        <w:rPr>
          <w:rFonts w:ascii="方正仿宋_GBK" w:hAnsi="方正仿宋_GBK" w:eastAsia="方正仿宋_GBK" w:cs="方正仿宋_GBK"/>
          <w:sz w:val="32"/>
          <w:szCs w:val="32"/>
        </w:rPr>
        <w:t>53.07</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4133.91</w:t>
      </w:r>
      <w:r>
        <w:rPr>
          <w:rFonts w:ascii="方正仿宋_GBK" w:hAnsi="方正仿宋_GBK" w:eastAsia="方正仿宋_GBK" w:cs="方正仿宋_GBK"/>
          <w:sz w:val="32"/>
          <w:szCs w:val="32"/>
          <w:shd w:val="clear" w:color="auto" w:fill="FFFFFF"/>
        </w:rPr>
        <w:t>万元，与2023年度相比，减少60.25万元，下降1.44%，主要原因是2023年清算补发以前年度超额绩效和健康休养费。其中：基本支出</w:t>
      </w:r>
      <w:r>
        <w:rPr>
          <w:rFonts w:ascii="方正仿宋_GBK" w:hAnsi="方正仿宋_GBK" w:eastAsia="方正仿宋_GBK" w:cs="方正仿宋_GBK"/>
          <w:sz w:val="32"/>
          <w:szCs w:val="32"/>
        </w:rPr>
        <w:t>3359.93</w:t>
      </w:r>
      <w:r>
        <w:rPr>
          <w:rFonts w:ascii="方正仿宋_GBK" w:hAnsi="方正仿宋_GBK" w:eastAsia="方正仿宋_GBK" w:cs="方正仿宋_GBK"/>
          <w:sz w:val="32"/>
          <w:szCs w:val="32"/>
          <w:shd w:val="clear" w:color="auto" w:fill="FFFFFF"/>
        </w:rPr>
        <w:t>万元，占81.28%；项目支出</w:t>
      </w:r>
      <w:r>
        <w:rPr>
          <w:rFonts w:ascii="方正仿宋_GBK" w:hAnsi="方正仿宋_GBK" w:eastAsia="方正仿宋_GBK" w:cs="方正仿宋_GBK"/>
          <w:sz w:val="32"/>
          <w:szCs w:val="32"/>
        </w:rPr>
        <w:t>773.98</w:t>
      </w:r>
      <w:r>
        <w:rPr>
          <w:rFonts w:ascii="方正仿宋_GBK" w:hAnsi="方正仿宋_GBK" w:eastAsia="方正仿宋_GBK" w:cs="方正仿宋_GBK"/>
          <w:sz w:val="32"/>
          <w:szCs w:val="32"/>
          <w:shd w:val="clear" w:color="auto" w:fill="FFFFFF"/>
        </w:rPr>
        <w:t>万元，占18.72%；经营支出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万元，与2023年度相比，无增减，主要原因是2023年和2024年均无结转和结余。</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2024年度财政拨款收、支总计3906.59万元。与2023年相比，财政拨款收、支总计各减少13.02万元，下降0.33%。主要原因是教师人数较上年减少6人所致。</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3906.59</w:t>
      </w:r>
      <w:r>
        <w:rPr>
          <w:rFonts w:ascii="方正仿宋_GBK" w:hAnsi="方正仿宋_GBK" w:eastAsia="方正仿宋_GBK" w:cs="方正仿宋_GBK"/>
          <w:sz w:val="32"/>
          <w:szCs w:val="32"/>
          <w:shd w:val="clear" w:color="auto" w:fill="FFFFFF"/>
        </w:rPr>
        <w:t>万元，与2023年度相比，减少12.35万元，下降0.32%。主要原因是教师人数较上年减少6人所致。较年初预算数增加789.40万元，增长25.32%。主要原因是养老、年金基数调整致人员经费和学校设施设备采购致项目经费增加。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3906.59</w:t>
      </w:r>
      <w:r>
        <w:rPr>
          <w:rFonts w:ascii="方正仿宋_GBK" w:hAnsi="方正仿宋_GBK" w:eastAsia="方正仿宋_GBK" w:cs="方正仿宋_GBK"/>
          <w:sz w:val="32"/>
          <w:szCs w:val="32"/>
          <w:shd w:val="clear" w:color="auto" w:fill="FFFFFF"/>
        </w:rPr>
        <w:t>万元，与2023年度相比，减少13.02万元，下降0.33%。主要原因是教师人数较上年减少6人所致。较年初预算数增加789.40万元，增长25.32%。主要原因是养老、年金基数调整致人员经费和学校设施设备采购致项目经费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万元，与2023年度相比，无增减，主要原因是2023、2024年均无一般公共预算财政拨款结转和结余。</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2875.23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73.60</w:t>
      </w:r>
      <w:r>
        <w:rPr>
          <w:rFonts w:ascii="方正仿宋_GBK" w:hAnsi="方正仿宋_GBK" w:eastAsia="方正仿宋_GBK" w:cs="方正仿宋_GBK"/>
          <w:sz w:val="32"/>
          <w:szCs w:val="32"/>
          <w:shd w:val="clear" w:color="auto" w:fill="FFFFFF"/>
        </w:rPr>
        <w:t>%，较年初预算数增加632.27万元，增长28.19%，主要原因是本年预算执行中人员经费和项目经费增加。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769.10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19.69</w:t>
      </w:r>
      <w:r>
        <w:rPr>
          <w:rFonts w:ascii="方正仿宋_GBK" w:hAnsi="方正仿宋_GBK" w:eastAsia="方正仿宋_GBK" w:cs="方正仿宋_GBK"/>
          <w:sz w:val="32"/>
          <w:szCs w:val="32"/>
          <w:shd w:val="clear" w:color="auto" w:fill="FFFFFF"/>
        </w:rPr>
        <w:t>%，较年初预算数增加157.71万元，增长25.80%，主要原因是本年预算执行中将超额绩效纳入养老保险和职业年金基数增加</w:t>
      </w:r>
      <w:bookmarkStart w:id="0" w:name="_GoBack"/>
      <w:r>
        <w:rPr>
          <w:rFonts w:hint="eastAsia" w:ascii="方正仿宋_GBK" w:hAnsi="方正仿宋_GBK" w:eastAsia="方正仿宋_GBK" w:cs="方正仿宋_GBK"/>
          <w:sz w:val="32"/>
          <w:szCs w:val="32"/>
          <w:shd w:val="clear" w:color="auto" w:fill="FFFFFF"/>
          <w:lang w:val="en-US" w:eastAsia="zh-CN"/>
        </w:rPr>
        <w:t>所</w:t>
      </w:r>
      <w:r>
        <w:rPr>
          <w:rFonts w:ascii="方正仿宋_GBK" w:hAnsi="方正仿宋_GBK" w:eastAsia="方正仿宋_GBK" w:cs="方正仿宋_GBK"/>
          <w:sz w:val="32"/>
          <w:szCs w:val="32"/>
          <w:shd w:val="clear" w:color="auto" w:fill="FFFFFF"/>
        </w:rPr>
        <w:t>致</w:t>
      </w:r>
      <w:bookmarkEnd w:id="0"/>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117.98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3.02</w:t>
      </w:r>
      <w:r>
        <w:rPr>
          <w:rFonts w:ascii="方正仿宋_GBK" w:hAnsi="方正仿宋_GBK" w:eastAsia="方正仿宋_GBK" w:cs="方正仿宋_GBK"/>
          <w:sz w:val="32"/>
          <w:szCs w:val="32"/>
          <w:shd w:val="clear" w:color="auto" w:fill="FFFFFF"/>
        </w:rPr>
        <w:t>%，较年初预算数减少1.50万元，下降1.26%，主要原因是本年预算执行中因教职工退休后减少了缴费基数。</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住房保障支出144.28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3.69</w:t>
      </w:r>
      <w:r>
        <w:rPr>
          <w:rFonts w:ascii="方正仿宋_GBK" w:hAnsi="方正仿宋_GBK" w:eastAsia="方正仿宋_GBK" w:cs="方正仿宋_GBK"/>
          <w:sz w:val="32"/>
          <w:szCs w:val="32"/>
          <w:shd w:val="clear" w:color="auto" w:fill="FFFFFF"/>
        </w:rPr>
        <w:t>%，较年初预算数增加0.91万元，增长0.63%，主要原因是本年预算执行中因教职工退休后减少了缴费基数。</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3142.71</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3087.35</w:t>
      </w:r>
      <w:r>
        <w:rPr>
          <w:rFonts w:ascii="方正仿宋_GBK" w:hAnsi="方正仿宋_GBK" w:eastAsia="方正仿宋_GBK" w:cs="方正仿宋_GBK"/>
          <w:sz w:val="32"/>
          <w:szCs w:val="32"/>
          <w:shd w:val="clear" w:color="auto" w:fill="FFFFFF"/>
        </w:rPr>
        <w:t>万元，与2023年度相比，减少381.75万元，下降11.00%，主要原因是2023年清算补发以前年度超额绩效和健康休养费。人员经费用途主要包括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55.36</w:t>
      </w:r>
      <w:r>
        <w:rPr>
          <w:rFonts w:ascii="方正仿宋_GBK" w:hAnsi="方正仿宋_GBK" w:eastAsia="方正仿宋_GBK" w:cs="方正仿宋_GBK"/>
          <w:sz w:val="32"/>
          <w:szCs w:val="32"/>
          <w:shd w:val="clear" w:color="auto" w:fill="FFFFFF"/>
        </w:rPr>
        <w:t>万元，与2023年度相比，减少5.98万元，下降9.75%，主要原因是工会经费、培训费、福利费的预算基数减少所致。公用经费用途主要包括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pPr>
        <w:pStyle w:val="6"/>
        <w:snapToGrid w:val="0"/>
        <w:spacing w:before="0" w:beforeAutospacing="0" w:after="0" w:afterAutospacing="0" w:line="600" w:lineRule="exact"/>
        <w:ind w:firstLine="640" w:firstLineChars="200"/>
        <w:jc w:val="both"/>
        <w:rPr>
          <w:rFonts w:hint="default" w:ascii="方正楷体_GBK" w:hAnsi="方正仿宋_GBK" w:eastAsia="方正楷体_GBK" w:cs="方正仿宋_GBK"/>
          <w:sz w:val="32"/>
          <w:szCs w:val="32"/>
        </w:rPr>
      </w:pPr>
      <w:r>
        <w:rPr>
          <w:rFonts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年度无国有资本经营预算财政拨款支出。</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三、财政拨款“三公”经费情况说明</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spacing w:line="600"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四、其他需要说明的事项</w:t>
      </w:r>
    </w:p>
    <w:p>
      <w:pPr>
        <w:pStyle w:val="11"/>
        <w:autoSpaceDE w:val="0"/>
        <w:spacing w:line="600" w:lineRule="exact"/>
        <w:ind w:firstLine="643"/>
        <w:rPr>
          <w:rFonts w:hint="eastAsia"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 xml:space="preserve"> 。本年度培训费支出</w:t>
      </w:r>
      <w:r>
        <w:rPr>
          <w:rFonts w:ascii="方正仿宋_GBK" w:hAnsi="方正仿宋_GBK" w:eastAsia="方正仿宋_GBK" w:cs="方正仿宋_GBK"/>
          <w:sz w:val="32"/>
          <w:szCs w:val="32"/>
        </w:rPr>
        <w:t>21.87</w:t>
      </w:r>
      <w:r>
        <w:rPr>
          <w:rFonts w:ascii="方正仿宋_GBK" w:hAnsi="方正仿宋_GBK" w:eastAsia="方正仿宋_GBK" w:cs="方正仿宋_GBK"/>
          <w:sz w:val="32"/>
          <w:szCs w:val="32"/>
          <w:shd w:val="clear" w:color="auto" w:fill="FFFFFF"/>
        </w:rPr>
        <w:t>万元，与2023年度相比，增加4.44万元，增长25.47%，主要原因是学校加大了师资队伍的建设和培训</w:t>
      </w:r>
      <w:r>
        <w:rPr>
          <w:rFonts w:ascii="方正仿宋_GBK" w:hAnsi="方正仿宋_GBK" w:eastAsia="方正仿宋_GBK" w:cs="方正仿宋_GBK"/>
          <w:sz w:val="32"/>
          <w:szCs w:val="32"/>
        </w:rPr>
        <w:t>。</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hint="eastAsia"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r>
        <w:rPr>
          <w:rFonts w:ascii="方正仿宋_GBK" w:hAnsi="方正仿宋_GBK" w:eastAsia="方正仿宋_GBK" w:cs="方正仿宋_GBK"/>
          <w:sz w:val="32"/>
          <w:szCs w:val="32"/>
        </w:rPr>
        <w:t>。</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11"/>
        <w:autoSpaceDE w:val="0"/>
        <w:spacing w:line="600"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62.98</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62.98</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rPr>
        <w:t>教学用设备和学生课桌椅</w:t>
      </w:r>
      <w:r>
        <w:rPr>
          <w:rFonts w:ascii="方正仿宋_GBK" w:hAnsi="方正仿宋_GBK" w:eastAsia="方正仿宋_GBK" w:cs="方正仿宋_GBK"/>
          <w:sz w:val="32"/>
          <w:szCs w:val="32"/>
          <w:shd w:val="clear" w:color="auto" w:fill="FFFFFF"/>
        </w:rPr>
        <w:t>。</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五、2024年度预算绩效管理情况说明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根据预算绩效管理要求，我单位对13个二级项目开展了绩效自评，涉及财政拨款项目支出资金763.88万元。</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eastAsia" w:eastAsia="宋体"/>
          <w:highlight w:val="red"/>
          <w:lang w:eastAsia="zh-CN"/>
        </w:rPr>
      </w:pPr>
      <w:r>
        <w:drawing>
          <wp:inline distT="0" distB="0" distL="114300" distR="114300">
            <wp:extent cx="5355590" cy="5079365"/>
            <wp:effectExtent l="0" t="0" r="6985"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355590" cy="5079365"/>
                    </a:xfrm>
                    <a:prstGeom prst="rect">
                      <a:avLst/>
                    </a:prstGeom>
                    <a:noFill/>
                    <a:ln>
                      <a:noFill/>
                    </a:ln>
                  </pic:spPr>
                </pic:pic>
              </a:graphicData>
            </a:graphic>
          </wp:inline>
        </w:drawing>
      </w:r>
      <w:r>
        <w:t xml:space="preserve"> </w:t>
      </w:r>
      <w:r>
        <w:drawing>
          <wp:inline distT="0" distB="0" distL="114300" distR="114300">
            <wp:extent cx="5396865" cy="4946015"/>
            <wp:effectExtent l="0" t="0" r="3810" b="698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396865" cy="4946015"/>
                    </a:xfrm>
                    <a:prstGeom prst="rect">
                      <a:avLst/>
                    </a:prstGeom>
                    <a:noFill/>
                    <a:ln>
                      <a:noFill/>
                    </a:ln>
                  </pic:spPr>
                </pic:pic>
              </a:graphicData>
            </a:graphic>
          </wp:inline>
        </w:drawing>
      </w:r>
    </w:p>
    <w:p>
      <w:pPr>
        <w:rPr>
          <w:rFonts w:hint="default" w:ascii="楷体" w:hAnsi="楷体" w:eastAsia="楷体" w:cs="宋体"/>
          <w:b/>
          <w:bCs/>
          <w:color w:val="000000"/>
          <w:sz w:val="32"/>
          <w:szCs w:val="32"/>
          <w:highlight w:val="red"/>
          <w:shd w:val="clear" w:color="auto" w:fill="FFFFFF"/>
        </w:rPr>
        <w:sectPr>
          <w:pgSz w:w="11915" w:h="16840"/>
          <w:pgMar w:top="1440" w:right="1800" w:bottom="1440" w:left="1800" w:header="851" w:footer="992" w:gutter="0"/>
          <w:pgNumType w:fmt="numberInDash"/>
          <w:cols w:space="720" w:num="1"/>
          <w:docGrid w:type="lines" w:linePitch="312" w:charSpace="0"/>
        </w:sectPr>
      </w:pP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七、决算公开联系方式及信息反馈渠道</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6"/>
        <w:snapToGrid w:val="0"/>
        <w:spacing w:before="0" w:beforeAutospacing="0" w:after="0" w:afterAutospacing="0" w:line="600" w:lineRule="exact"/>
        <w:ind w:firstLine="640" w:firstLineChars="200"/>
        <w:jc w:val="both"/>
        <w:rPr>
          <w:rStyle w:val="10"/>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rPr>
        <w:t>刘老师   023- 74538193</w:t>
      </w: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01</w:t>
            </w:r>
            <w:r>
              <w:rPr>
                <w:rFonts w:cs="宋体"/>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r>
              <w:rPr>
                <w:rFonts w:cs="宋体"/>
                <w:sz w:val="20"/>
                <w:szCs w:val="20"/>
              </w:rPr>
              <w:t>单位：</w:t>
            </w:r>
            <w:r>
              <w:rPr>
                <w:sz w:val="20"/>
              </w:rPr>
              <w:t>垫江县太平小学校</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3,906.59</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3,102.55</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174.25</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769.10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117.98</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144.28</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4,080.84</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4,133.91</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53.07</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4,133.91</w:t>
            </w:r>
            <w:r>
              <w:rPr>
                <w:rFonts w:ascii="Times New Roman" w:hAnsi="Times New Roman"/>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4,133.91</w:t>
            </w:r>
            <w:r>
              <w:rPr>
                <w:rFonts w:ascii="Times New Roman" w:hAnsi="Times New Roman"/>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收入决算表</w:t>
            </w:r>
          </w:p>
        </w:tc>
      </w:tr>
      <w:tr>
        <w:tblPrEx>
          <w:tblLayout w:type="fixed"/>
          <w:tblCellMar>
            <w:top w:w="0" w:type="dxa"/>
            <w:left w:w="0" w:type="dxa"/>
            <w:bottom w:w="0" w:type="dxa"/>
            <w:right w:w="0" w:type="dxa"/>
          </w:tblCellMar>
        </w:tblPrEx>
        <w:trPr>
          <w:trHeight w:val="328" w:hRule="atLeast"/>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垫江县太平小学校</w:t>
            </w: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02</w:t>
            </w:r>
            <w:r>
              <w:rPr>
                <w:rFonts w:cs="宋体"/>
                <w:sz w:val="20"/>
                <w:szCs w:val="20"/>
              </w:rPr>
              <w:t>表</w:t>
            </w:r>
          </w:p>
        </w:tc>
      </w:tr>
      <w:tr>
        <w:tblPrEx>
          <w:tblLayout w:type="fixed"/>
          <w:tblCellMar>
            <w:top w:w="0" w:type="dxa"/>
            <w:left w:w="0" w:type="dxa"/>
            <w:bottom w:w="0" w:type="dxa"/>
            <w:right w:w="0" w:type="dxa"/>
          </w:tblCellMar>
        </w:tblPrEx>
        <w:trPr>
          <w:trHeight w:val="328" w:hRule="atLeast"/>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40" w:hRule="exac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其他收入</w:t>
            </w:r>
          </w:p>
        </w:tc>
      </w:tr>
      <w:tr>
        <w:tblPrEx>
          <w:tblLayout w:type="fixed"/>
          <w:tblCellMar>
            <w:top w:w="0" w:type="dxa"/>
            <w:left w:w="0" w:type="dxa"/>
            <w:bottom w:w="0" w:type="dxa"/>
            <w:right w:w="0" w:type="dxa"/>
          </w:tblCellMar>
        </w:tblPrEx>
        <w:trPr>
          <w:trHeight w:val="340"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exac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4,080.84</w:t>
            </w:r>
            <w:r>
              <w:rPr>
                <w:rFonts w:ascii="Times New Roman" w:hAnsi="Times New Roman"/>
                <w:b/>
                <w:sz w:val="20"/>
              </w:rPr>
              <w:t xml:space="preserve"> </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3,906.59</w:t>
            </w:r>
            <w:r>
              <w:rPr>
                <w:rFonts w:ascii="Times New Roman" w:hAnsi="Times New Roman"/>
                <w:b/>
                <w:sz w:val="20"/>
              </w:rPr>
              <w:t xml:space="preserve"> </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174.25</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3,049.48</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2,875.23</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174.25</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2,625.96</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2,451.72</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174.25</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小学教育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2,625.96</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2,451.72</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174.25</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5.62</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5.62</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5.62</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5.62</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教育费附加安排的支出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417.89</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417.89</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2050999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其他教育费附加安排的支出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417.89</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417.89</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769.10</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769.10</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769.10</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769.10</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295.95</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295.95</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148.20</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148.20</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324.96</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324.96</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117.98</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117.98</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117.98</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117.98</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117.98</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117.98</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144.28</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144.28</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144.28</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144.28</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144.28</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144.28</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支出决算表</w:t>
            </w:r>
          </w:p>
        </w:tc>
      </w:tr>
      <w:tr>
        <w:tblPrEx>
          <w:tblLayout w:type="fixed"/>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 xml:space="preserve">垫江县太平小学校 </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03</w:t>
            </w:r>
            <w:r>
              <w:rPr>
                <w:rFonts w:cs="宋体"/>
                <w:sz w:val="20"/>
                <w:szCs w:val="20"/>
              </w:rPr>
              <w:t>表</w:t>
            </w:r>
          </w:p>
        </w:tc>
      </w:tr>
      <w:tr>
        <w:tblPrEx>
          <w:tblLayout w:type="fixed"/>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40" w:hRule="exac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对附属单位补助支出</w:t>
            </w:r>
          </w:p>
        </w:tc>
      </w:tr>
      <w:tr>
        <w:tblPrEx>
          <w:tblLayout w:type="fixed"/>
          <w:tblCellMar>
            <w:top w:w="0" w:type="dxa"/>
            <w:left w:w="0" w:type="dxa"/>
            <w:bottom w:w="0" w:type="dxa"/>
            <w:right w:w="0" w:type="dxa"/>
          </w:tblCellMar>
        </w:tblPrEx>
        <w:trPr>
          <w:trHeight w:val="340"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exac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4,133.91</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3,359.93</w:t>
            </w:r>
            <w:r>
              <w:rPr>
                <w:rFonts w:ascii="Times New Roman" w:hAnsi="Times New Roman"/>
                <w:b/>
                <w:sz w:val="20"/>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773.98</w:t>
            </w:r>
            <w:r>
              <w:rPr>
                <w:rFonts w:ascii="Times New Roman" w:hAnsi="Times New Roman"/>
                <w:b/>
                <w:sz w:val="20"/>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3,102.55</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2,329.62</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772.93</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2,679.03</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2,324.00</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355.04</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小学教育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2,679.03</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2,324.00</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355.04</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5.62</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5.62</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5.62</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5.62</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教育费附加安排的支出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417.89</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417.89</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2050999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其他教育费附加安排的支出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417.89</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417.89</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769.10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768.05</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1.05</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769.10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768.05</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1.05</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295.95</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295.95</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148.20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148.20</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324.96</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323.91</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1.05</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117.98</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117.98</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117.98</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117.98</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117.98</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117.98</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144.28</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144.28</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144.28</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144.28</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144.28</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144.28</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r>
              <w:rPr>
                <w:rFonts w:cs="宋体"/>
                <w:sz w:val="20"/>
                <w:szCs w:val="20"/>
              </w:rPr>
              <w:t>单位：</w:t>
            </w:r>
            <w:r>
              <w:rPr>
                <w:sz w:val="20"/>
              </w:rPr>
              <w:t>垫江县太平小学校</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04</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3,906.59</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2,875.23</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2,875.23</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769.10</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769.10</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117.98</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117.98</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144.28</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144.28</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3,906.59</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3,906.59</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3,906.59</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3,906.59</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3,906.59</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3,906.59</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垫江县太平小学校</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05</w:t>
            </w:r>
            <w:r>
              <w:rPr>
                <w:rFonts w:cs="宋体"/>
                <w:sz w:val="20"/>
                <w:szCs w:val="20"/>
              </w:rPr>
              <w:t>表</w:t>
            </w:r>
          </w:p>
        </w:tc>
      </w:tr>
      <w:tr>
        <w:tblPrEx>
          <w:tblLayout w:type="fixed"/>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3,906.59</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3,142.71</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763.88</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2,875.23</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2,112.40</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762.83</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2,451.72</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2,106.78</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344.94</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小学教育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2,451.72</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2,106.78</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344.94</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5.62</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5.62</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5.62</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5.62</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教育费附加安排的支出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417.89</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417.89</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2050999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其他教育费附加安排的支出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417.89</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417.89</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769.10</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768.05</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1.05</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769.10</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768.05</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1.05</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295.95</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295.95</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148.20</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148.20</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324.96</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323.91</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1.05</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117.98</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117.98</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117.98</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117.98</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117.98</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117.98</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144.28</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144.28</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144.28</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144.28</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144.28</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144.28</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ind w:firstLine="600" w:firstLineChars="300"/>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sz w:val="32"/>
                <w:szCs w:val="32"/>
              </w:rPr>
            </w:pPr>
            <w:r>
              <w:rPr>
                <w:rFonts w:cs="宋体"/>
                <w:b/>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r>
              <w:rPr>
                <w:rFonts w:cs="宋体"/>
                <w:sz w:val="20"/>
                <w:szCs w:val="20"/>
              </w:rPr>
              <w:t>单位：</w:t>
            </w:r>
            <w:r>
              <w:rPr>
                <w:sz w:val="20"/>
              </w:rPr>
              <w:t>垫江县太平小学校</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06</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2,763.45</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55.36</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661.52</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91.77</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1,279.57</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295.95</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148.20</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117.98</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3.55</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144.28</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20.64</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323.91</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5.62</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277.18</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21.00</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19.96</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sz w:val="18"/>
                <w:szCs w:val="18"/>
              </w:rPr>
            </w:pPr>
            <w:r>
              <w:rPr>
                <w:rFonts w:cs="宋体"/>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25.73</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29.78</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sz w:val="18"/>
                <w:szCs w:val="18"/>
              </w:rPr>
            </w:pPr>
            <w:r>
              <w:rPr>
                <w:rFonts w:hint="default" w:ascii="Times New Roman" w:hAnsi="Times New Roman"/>
                <w:sz w:val="18"/>
                <w:szCs w:val="18"/>
              </w:rPr>
              <w:t>3,087.35</w:t>
            </w:r>
            <w:r>
              <w:rPr>
                <w:rFonts w:ascii="Times New Roman" w:hAnsi="Times New Roman"/>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55.36</w:t>
            </w:r>
            <w:r>
              <w:rPr>
                <w:rFonts w:ascii="Times New Roman" w:hAnsi="Times New Roman"/>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垫江县太平小学校</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07</w:t>
            </w:r>
            <w:r>
              <w:rPr>
                <w:rFonts w:cs="宋体"/>
                <w:sz w:val="20"/>
                <w:szCs w:val="20"/>
              </w:rPr>
              <w:t>表</w:t>
            </w:r>
          </w:p>
        </w:tc>
      </w:tr>
      <w:tr>
        <w:tblPrEx>
          <w:tblLayout w:type="fixed"/>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年末结转和结余</w:t>
            </w:r>
          </w:p>
        </w:tc>
      </w:tr>
      <w:tr>
        <w:tblPrEx>
          <w:tblLayout w:type="fixed"/>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垫江县太平小学校</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08</w:t>
            </w:r>
            <w:r>
              <w:rPr>
                <w:rFonts w:cs="宋体"/>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kern w:val="2"/>
                <w:sz w:val="32"/>
                <w:szCs w:val="32"/>
              </w:rPr>
            </w:pPr>
            <w:r>
              <w:rPr>
                <w:rFonts w:cs="宋体"/>
                <w:b/>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kern w:val="2"/>
                <w:sz w:val="20"/>
                <w:szCs w:val="20"/>
              </w:rPr>
            </w:pPr>
          </w:p>
        </w:tc>
        <w:tc>
          <w:tcPr>
            <w:tcW w:w="2383" w:type="dxa"/>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84"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502" w:type="dxa"/>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公开</w:t>
            </w:r>
            <w:r>
              <w:rPr>
                <w:rFonts w:hint="default" w:ascii="Times New Roman" w:hAnsi="Times New Roman"/>
                <w:kern w:val="2"/>
                <w:sz w:val="20"/>
                <w:szCs w:val="20"/>
              </w:rPr>
              <w:t>09</w:t>
            </w:r>
            <w:r>
              <w:rPr>
                <w:rFonts w:cs="宋体"/>
                <w:kern w:val="2"/>
                <w:sz w:val="20"/>
                <w:szCs w:val="20"/>
              </w:rPr>
              <w:t>表</w:t>
            </w:r>
          </w:p>
        </w:tc>
      </w:tr>
      <w:tr>
        <w:tblPrEx>
          <w:tblLayout w:type="fixed"/>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r>
              <w:rPr>
                <w:rFonts w:cs="宋体"/>
                <w:kern w:val="2"/>
                <w:sz w:val="20"/>
                <w:szCs w:val="20"/>
              </w:rPr>
              <w:t>单位：</w:t>
            </w:r>
            <w:r>
              <w:rPr>
                <w:sz w:val="20"/>
              </w:rPr>
              <w:t>垫江县太平小学校</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单位：万元</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62.98</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62.98</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21.87</w:t>
            </w: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sz w:val="16"/>
                <w:szCs w:val="16"/>
              </w:rPr>
            </w:pPr>
            <w:r>
              <w:rPr>
                <w:rFonts w:cs="宋体"/>
                <w:b/>
                <w:bCs/>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sz w:val="18"/>
                <w:szCs w:val="18"/>
              </w:rPr>
            </w:pPr>
            <w:r>
              <w:rPr>
                <w:rFonts w:hint="default" w:ascii="Times New Roman" w:hAnsi="Times New Roman"/>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13.51</w:t>
            </w: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script"/>
    <w:pitch w:val="default"/>
    <w:sig w:usb0="00000000" w:usb1="00000000" w:usb2="00000000" w:usb3="00000000" w:csb0="00000000" w:csb1="00000000"/>
  </w:font>
  <w:font w:name="方正黑体_GBK">
    <w:altName w:val="Arial Unicode MS"/>
    <w:panose1 w:val="02010600010101010101"/>
    <w:charset w:val="86"/>
    <w:family w:val="script"/>
    <w:pitch w:val="default"/>
    <w:sig w:usb0="00000000" w:usb1="00000000" w:usb2="00000000" w:usb3="00000000" w:csb0="00000000" w:csb1="00000000"/>
  </w:font>
  <w:font w:name="仿宋_GB2312">
    <w:altName w:val="仿宋"/>
    <w:panose1 w:val="00000000000000000000"/>
    <w:charset w:val="86"/>
    <w:family w:val="roman"/>
    <w:pitch w:val="default"/>
    <w:sig w:usb0="00000000" w:usb1="00000000" w:usb2="00000000" w:usb3="00000000" w:csb0="00040000" w:csb1="00000000"/>
  </w:font>
  <w:font w:name="方正楷体_GBK">
    <w:altName w:val="Arial Unicode MS"/>
    <w:panose1 w:val="02000000000000000000"/>
    <w:charset w:val="86"/>
    <w:family w:val="script"/>
    <w:pitch w:val="default"/>
    <w:sig w:usb0="00000000" w:usb1="00000000" w:usb2="00000000" w:usb3="00000000" w:csb0="00000000" w:csb1="00000000"/>
  </w:font>
  <w:font w:name="方正仿宋_GBK">
    <w:altName w:val="Arial Unicode MS"/>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927A2"/>
    <w:rsid w:val="001D3BB7"/>
    <w:rsid w:val="002B254B"/>
    <w:rsid w:val="00340E40"/>
    <w:rsid w:val="0046205F"/>
    <w:rsid w:val="00466C9B"/>
    <w:rsid w:val="00550ABE"/>
    <w:rsid w:val="00557F21"/>
    <w:rsid w:val="00770383"/>
    <w:rsid w:val="007819D4"/>
    <w:rsid w:val="007B419D"/>
    <w:rsid w:val="007B7C4B"/>
    <w:rsid w:val="007D3D39"/>
    <w:rsid w:val="00832BBF"/>
    <w:rsid w:val="00994AF7"/>
    <w:rsid w:val="009B67B8"/>
    <w:rsid w:val="009D2B67"/>
    <w:rsid w:val="00A566F9"/>
    <w:rsid w:val="00AF2751"/>
    <w:rsid w:val="00B03CCD"/>
    <w:rsid w:val="00BE2B89"/>
    <w:rsid w:val="00C10E9E"/>
    <w:rsid w:val="00C20C3E"/>
    <w:rsid w:val="00CF2ACF"/>
    <w:rsid w:val="00D70919"/>
    <w:rsid w:val="00EE1681"/>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5E5DC9"/>
    <w:rsid w:val="11643A4B"/>
    <w:rsid w:val="11E062BF"/>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5B2C03"/>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8F61083"/>
    <w:rsid w:val="5A3B59D6"/>
    <w:rsid w:val="5AD134D8"/>
    <w:rsid w:val="5B9A01F8"/>
    <w:rsid w:val="5C0E31E3"/>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7216A0"/>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5EA6E1B"/>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8530</Words>
  <Characters>11235</Characters>
  <Lines>100</Lines>
  <Paragraphs>28</Paragraphs>
  <TotalTime>0</TotalTime>
  <ScaleCrop>false</ScaleCrop>
  <LinksUpToDate>false</LinksUpToDate>
  <CharactersWithSpaces>12295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2025-09-23T01:24:57Z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