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垫江县教育服务中心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57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cs="方正仿宋_GBK"/>
          <w:sz w:val="32"/>
          <w:szCs w:val="32"/>
        </w:rPr>
        <w:t>服务教育，服务师生。指导校办企业管理；拓展教育服务市场；服务学生素质教育。</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57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cs="方正仿宋_GBK"/>
          <w:sz w:val="32"/>
          <w:szCs w:val="32"/>
        </w:rPr>
        <w:t>本单位无内设机构。</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2024年度收入总计95.01万元，支出总计</w:t>
      </w:r>
      <w:r>
        <w:rPr>
          <w:rFonts w:ascii="方正仿宋_GBK" w:hAnsi="方正仿宋_GBK" w:eastAsia="方正仿宋_GBK" w:cs="方正仿宋_GBK"/>
          <w:sz w:val="32"/>
          <w:szCs w:val="32"/>
        </w:rPr>
        <w:t>95.01</w:t>
      </w:r>
      <w:r>
        <w:rPr>
          <w:rFonts w:ascii="方正仿宋_GBK" w:hAnsi="方正仿宋_GBK" w:eastAsia="方正仿宋_GBK" w:cs="方正仿宋_GBK"/>
          <w:sz w:val="32"/>
          <w:szCs w:val="32"/>
          <w:shd w:val="clear" w:color="auto" w:fill="FFFFFF"/>
        </w:rPr>
        <w:t>万元。收、支与2023年度相比，减少23.90万元，下降20.1%，主要原因是本年退休1人。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2024年度收入合计94.32万元，与2023年度相比，减少22.26万元，下降19.1%，主要原因是本年退休1人。其中：财政拨款收入</w:t>
      </w:r>
      <w:r>
        <w:rPr>
          <w:rFonts w:ascii="方正仿宋_GBK" w:hAnsi="方正仿宋_GBK" w:eastAsia="方正仿宋_GBK" w:cs="方正仿宋_GBK"/>
          <w:sz w:val="32"/>
          <w:szCs w:val="32"/>
        </w:rPr>
        <w:t>84.32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万元，占10.6%；经营收入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0.69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93.41</w:t>
      </w:r>
      <w:r>
        <w:rPr>
          <w:rFonts w:ascii="方正仿宋_GBK" w:hAnsi="方正仿宋_GBK" w:eastAsia="方正仿宋_GBK" w:cs="方正仿宋_GBK"/>
          <w:sz w:val="32"/>
          <w:szCs w:val="32"/>
          <w:shd w:val="clear" w:color="auto" w:fill="FFFFFF"/>
        </w:rPr>
        <w:t>万元，与2023年度相比，减少24.81万元，下降21.0%，主要原因是本年退休1人。其中：基本支出</w:t>
      </w:r>
      <w:r>
        <w:rPr>
          <w:rFonts w:ascii="方正仿宋_GBK" w:hAnsi="方正仿宋_GBK" w:eastAsia="方正仿宋_GBK" w:cs="方正仿宋_GBK"/>
          <w:sz w:val="32"/>
          <w:szCs w:val="32"/>
        </w:rPr>
        <w:t>93.41</w:t>
      </w:r>
      <w:r>
        <w:rPr>
          <w:rFonts w:ascii="方正仿宋_GBK" w:hAnsi="方正仿宋_GBK" w:eastAsia="方正仿宋_GBK" w:cs="方正仿宋_GBK"/>
          <w:sz w:val="32"/>
          <w:szCs w:val="32"/>
          <w:shd w:val="clear" w:color="auto" w:fill="FFFFFF"/>
        </w:rPr>
        <w:t>万元，占100.0%；项目支出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万元，与2023年度相比，增加0.91万元，增长131.9%，主要原因是本年事业收入结余0.91万元。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2024年度财政拨款收、支总计84.32万元。与2023年相比，财政拨款收、支总计各减少29.09万元，下降25.7%。主要原因是本年退休1人。</w:t>
      </w:r>
    </w:p>
    <w:p>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84.32</w:t>
      </w:r>
      <w:r>
        <w:rPr>
          <w:rFonts w:ascii="方正仿宋_GBK" w:hAnsi="方正仿宋_GBK" w:eastAsia="方正仿宋_GBK" w:cs="方正仿宋_GBK"/>
          <w:sz w:val="32"/>
          <w:szCs w:val="32"/>
          <w:shd w:val="clear" w:color="auto" w:fill="FFFFFF"/>
        </w:rPr>
        <w:t>万元，与2023年度相比，减少26.76万元，下降24.1%。主要原因是本年退休1人。较年初预算数增加23.81万元，增长39.4%。主要原因是</w:t>
      </w:r>
      <w:r>
        <w:rPr>
          <w:rFonts w:ascii="方正仿宋_GBK" w:eastAsia="方正仿宋_GBK"/>
          <w:color w:val="000000" w:themeColor="text1"/>
          <w:sz w:val="32"/>
          <w:szCs w:val="32"/>
        </w:rPr>
        <w:t>职工正常晋升、晋岗晋级、绩效清算补发等人员经费类基本支出增加。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ascii="方正仿宋_GBK" w:eastAsia="方正仿宋_GBK"/>
          <w:color w:val="000000" w:themeColor="text1"/>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84.32</w:t>
      </w:r>
      <w:r>
        <w:rPr>
          <w:rFonts w:ascii="方正仿宋_GBK" w:hAnsi="方正仿宋_GBK" w:eastAsia="方正仿宋_GBK" w:cs="方正仿宋_GBK"/>
          <w:sz w:val="32"/>
          <w:szCs w:val="32"/>
          <w:shd w:val="clear" w:color="auto" w:fill="FFFFFF"/>
        </w:rPr>
        <w:t>万元，与2023年度相比，减少29.09万元，下降25.7%。主要原因是本年退休1人</w:t>
      </w:r>
      <w:r>
        <w:rPr>
          <w:rFonts w:ascii="方正仿宋_GBK" w:eastAsia="方正仿宋_GBK"/>
          <w:color w:val="000000" w:themeColor="text1"/>
          <w:sz w:val="32"/>
          <w:szCs w:val="32"/>
        </w:rPr>
        <w:t>。</w:t>
      </w:r>
      <w:r>
        <w:rPr>
          <w:rFonts w:ascii="方正仿宋_GBK" w:hAnsi="方正仿宋_GBK" w:eastAsia="方正仿宋_GBK" w:cs="方正仿宋_GBK"/>
          <w:sz w:val="32"/>
          <w:szCs w:val="32"/>
          <w:shd w:val="clear" w:color="auto" w:fill="FFFFFF"/>
        </w:rPr>
        <w:t>较年初预算数增加23.81万元，增长39.4%。主要原因是</w:t>
      </w:r>
      <w:r>
        <w:rPr>
          <w:rFonts w:ascii="方正仿宋_GBK" w:eastAsia="方正仿宋_GBK"/>
          <w:color w:val="000000" w:themeColor="text1"/>
          <w:sz w:val="32"/>
          <w:szCs w:val="32"/>
        </w:rPr>
        <w:t>职工正常晋升、晋岗晋级、绩效清算补发等人员经费类基本支出增加。</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r>
        <w:rPr>
          <w:rFonts w:hint="default" w:ascii="方正仿宋_GBK" w:hAnsi="方正仿宋_GBK" w:eastAsia="方正仿宋_GBK" w:cs="方正仿宋_GBK"/>
          <w:sz w:val="32"/>
          <w:szCs w:val="32"/>
        </w:rPr>
        <w:t xml:space="preserve"> </w:t>
      </w:r>
    </w:p>
    <w:p>
      <w:pPr>
        <w:pStyle w:val="6"/>
        <w:snapToGrid w:val="0"/>
        <w:spacing w:before="0" w:beforeAutospacing="0" w:after="0" w:afterAutospacing="0" w:line="600" w:lineRule="exact"/>
        <w:ind w:firstLine="640" w:firstLineChars="200"/>
        <w:jc w:val="both"/>
        <w:rPr>
          <w:rFonts w:ascii="方正仿宋_GBK" w:eastAsia="方正仿宋_GBK"/>
          <w:color w:val="000000" w:themeColor="text1"/>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58.37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69.2%</w:t>
      </w:r>
      <w:r>
        <w:rPr>
          <w:rFonts w:ascii="方正仿宋_GBK" w:hAnsi="方正仿宋_GBK" w:eastAsia="方正仿宋_GBK" w:cs="方正仿宋_GBK"/>
          <w:sz w:val="32"/>
          <w:szCs w:val="32"/>
          <w:shd w:val="clear" w:color="auto" w:fill="FFFFFF"/>
        </w:rPr>
        <w:t>，较年初预算数增加19.19万元，增长49.0%，主要原因是</w:t>
      </w:r>
      <w:r>
        <w:rPr>
          <w:rFonts w:ascii="方正仿宋_GBK" w:eastAsia="方正仿宋_GBK"/>
          <w:color w:val="000000" w:themeColor="text1"/>
          <w:sz w:val="32"/>
          <w:szCs w:val="32"/>
        </w:rPr>
        <w:t>职工正常晋升、晋岗晋级、绩效清算补发等人员经费类基本支出增加。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20.31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w:t>
      </w:r>
      <w:r>
        <w:rPr>
          <w:rFonts w:ascii="方正仿宋_GBK" w:hAnsi="方正仿宋_GBK" w:eastAsia="方正仿宋_GBK" w:cs="方正仿宋_GBK"/>
          <w:sz w:val="32"/>
          <w:szCs w:val="32"/>
          <w:shd w:val="clear" w:color="auto" w:fill="FFFFFF"/>
        </w:rPr>
        <w:t>，较年初预算数增加3.71万元，增长22.4%，主要原因是</w:t>
      </w:r>
      <w:r>
        <w:rPr>
          <w:rFonts w:ascii="方正仿宋_GBK" w:eastAsia="方正仿宋_GBK"/>
          <w:color w:val="000000" w:themeColor="text1"/>
          <w:sz w:val="32"/>
          <w:szCs w:val="32"/>
        </w:rPr>
        <w:t>本年预算执行中清算了退休人员以前年度健康休养费调整年初预算和新调入1人。</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themeColor="text1"/>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，较年初预算数增加0.41万元，增长19.1%，主要原因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本年度调入1人。</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，较年初预算数增加0.49万元，增长19.0%，主要原因是新调入1人。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84.32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80.51</w:t>
      </w:r>
      <w:r>
        <w:rPr>
          <w:rFonts w:ascii="方正仿宋_GBK" w:hAnsi="方正仿宋_GBK" w:eastAsia="方正仿宋_GBK" w:cs="方正仿宋_GBK"/>
          <w:sz w:val="32"/>
          <w:szCs w:val="32"/>
          <w:shd w:val="clear" w:color="auto" w:fill="FFFFFF"/>
        </w:rPr>
        <w:t>万元，与2023年度相比，减少22.04万元，下降21.5%，主要原因是退休人员1人。人员经费用途主要包括</w:t>
      </w:r>
      <w:r>
        <w:rPr>
          <w:rFonts w:ascii="方正仿宋_GBK" w:eastAsia="方正仿宋_GBK"/>
          <w:color w:val="000000" w:themeColor="text1"/>
          <w:sz w:val="32"/>
          <w:szCs w:val="32"/>
        </w:rPr>
        <w:t>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3.80</w:t>
      </w:r>
      <w:r>
        <w:rPr>
          <w:rFonts w:ascii="方正仿宋_GBK" w:hAnsi="方正仿宋_GBK" w:eastAsia="方正仿宋_GBK" w:cs="方正仿宋_GBK"/>
          <w:sz w:val="32"/>
          <w:szCs w:val="32"/>
          <w:shd w:val="clear" w:color="auto" w:fill="FFFFFF"/>
        </w:rPr>
        <w:t>万元，与2023年度相比，减少7.06万元，下降65.0%，主要原因是办公费等支出减少。公用经费用途主要包括</w:t>
      </w:r>
      <w:r>
        <w:rPr>
          <w:rFonts w:ascii="方正仿宋_GBK" w:eastAsia="方正仿宋_GBK"/>
          <w:color w:val="000000" w:themeColor="text1"/>
          <w:sz w:val="32"/>
          <w:szCs w:val="32"/>
        </w:rPr>
        <w:t>正常运行的办公支出、水电费等支出。</w:t>
      </w:r>
    </w:p>
    <w:p>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ascii="方正仿宋_GBK" w:eastAsia="方正仿宋_GBK"/>
          <w:color w:val="000000" w:themeColor="text1"/>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2024年度国有资本经营预算财政拨</w:t>
      </w:r>
      <w:r>
        <w:rPr>
          <w:rFonts w:hint="eastAsia" w:ascii="方正仿宋_GBK" w:hAnsi="方正仿宋_GBK" w:eastAsia="方正仿宋_GBK" w:cs="方正仿宋_GBK"/>
          <w:color w:val="000000" w:themeColor="text1"/>
          <w:sz w:val="32"/>
          <w:szCs w:val="32"/>
          <w:shd w:val="clear" w:color="auto" w:fill="FFFFFF"/>
          <w:lang w:val="en-US" w:eastAsia="zh-CN"/>
        </w:rPr>
        <w:t>款</w:t>
      </w:r>
      <w:r>
        <w:rPr>
          <w:rFonts w:ascii="方正仿宋_GBK" w:hAnsi="方正仿宋_GBK" w:eastAsia="方正仿宋_GBK" w:cs="方正仿宋_GBK"/>
          <w:color w:val="000000" w:themeColor="text1"/>
          <w:sz w:val="32"/>
          <w:szCs w:val="32"/>
          <w:shd w:val="clear" w:color="auto" w:fill="FFFFFF"/>
        </w:rPr>
        <w:t>本年支出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万元，基本支出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万元，项目支出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w:t>
      </w:r>
      <w:r>
        <w:rPr>
          <w:rFonts w:ascii="方正仿宋_GBK" w:eastAsia="方正仿宋_GBK"/>
          <w:color w:val="000000" w:themeColor="text1"/>
          <w:sz w:val="32"/>
          <w:szCs w:val="32"/>
        </w:rPr>
        <w:t>。本单位2024年度无国有资本经营预算财政拨款支出。</w:t>
      </w:r>
    </w:p>
    <w:p>
      <w:pPr>
        <w:pStyle w:val="6"/>
        <w:shd w:val="clear" w:color="auto" w:fill="FFFFFF"/>
        <w:rPr>
          <w:rStyle w:val="10"/>
          <w:rFonts w:hint="default" w:ascii="黑体" w:hAnsi="黑体" w:eastAsia="黑体" w:cs="黑体"/>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0"/>
        <w:rPr>
          <w:rFonts w:ascii="方正楷体_GBK" w:hAnsi="楷体" w:eastAsia="方正楷体_GBK" w:cs="楷体"/>
          <w:bCs/>
          <w:color w:val="000000" w:themeColor="text1"/>
          <w:lang w:bidi="ar"/>
        </w:rPr>
      </w:pPr>
      <w:r>
        <w:rPr>
          <w:rFonts w:hint="eastAsia" w:ascii="方正楷体_GBK" w:hAnsi="楷体" w:eastAsia="方正楷体_GBK" w:cs="楷体"/>
          <w:b/>
          <w:bCs/>
          <w:color w:val="000000" w:themeColor="text1"/>
          <w:sz w:val="32"/>
          <w:szCs w:val="32"/>
          <w:shd w:val="clear" w:color="auto" w:fill="FFFFFF"/>
          <w:lang w:bidi="ar"/>
        </w:rPr>
        <w:t>（一）“三公”经费支出总体情况说明</w:t>
      </w:r>
    </w:p>
    <w:p>
      <w:pPr>
        <w:ind w:firstLine="640" w:firstLineChars="200"/>
        <w:rPr>
          <w:rFonts w:hint="default" w:ascii="方正仿宋_GBK" w:eastAsia="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2024年度“三公”经费支出共计</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万元，较年初预算数无增减，</w:t>
      </w:r>
      <w:r>
        <w:rPr>
          <w:rFonts w:ascii="方正仿宋_GBK" w:eastAsia="方正仿宋_GBK"/>
          <w:color w:val="000000" w:themeColor="text1"/>
          <w:sz w:val="32"/>
          <w:szCs w:val="32"/>
        </w:rPr>
        <w:t>主要原因是年初预算数未安排“三公”经费支出。较上年支出数无增减，主要原因是上年和本年均未发生</w:t>
      </w:r>
      <w:r>
        <w:rPr>
          <w:rFonts w:ascii="方正仿宋_GBK" w:eastAsia="方正仿宋_GBK"/>
          <w:bCs/>
          <w:color w:val="000000" w:themeColor="text1"/>
          <w:sz w:val="32"/>
          <w:szCs w:val="32"/>
        </w:rPr>
        <w:t>“三公”经费开支</w:t>
      </w:r>
      <w:r>
        <w:rPr>
          <w:rFonts w:ascii="方正仿宋_GBK" w:eastAsia="方正仿宋_GBK"/>
          <w:color w:val="000000" w:themeColor="text1"/>
          <w:sz w:val="32"/>
          <w:szCs w:val="32"/>
        </w:rPr>
        <w:t>。</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 xml:space="preserve">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万元，与2023年度相比，无增减，主要原因是本年无会议费支出。本年度培训费支出</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万元，与2023年度相比，减少0.20万元，下降64.5%，主要原因是本年培训安排减少。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截至2024年12月31日，本部门共有车辆</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辆，其中，副部（省）级及以上领导用车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辆、主要负责人用车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辆、机要通信用车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辆、应急保障用车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辆、执法执勤用车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辆，特种专业技术用车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辆，离退休干部用车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辆。单价100万元（含）以上专用设备</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台（套）。</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2024年度本部门政府采购支出总额</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万元，其中：政府采购货物支出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万元、政府采购工程支出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万元、政府采购服务支出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万元。授予中小企业合同金额</w:t>
      </w:r>
      <w:r>
        <w:rPr>
          <w:rFonts w:ascii="方正仿宋_GBK" w:hAnsi="方正仿宋_GBK" w:eastAsia="方正仿宋_GBK" w:cs="方正仿宋_GBK"/>
          <w:color w:val="000000" w:themeColor="text1"/>
          <w:sz w:val="32"/>
          <w:szCs w:val="32"/>
        </w:rPr>
        <w:t>0.00万</w:t>
      </w:r>
      <w:r>
        <w:rPr>
          <w:rFonts w:ascii="方正仿宋_GBK" w:hAnsi="方正仿宋_GBK" w:eastAsia="方正仿宋_GBK" w:cs="方正仿宋_GBK"/>
          <w:color w:val="000000" w:themeColor="text1"/>
          <w:sz w:val="32"/>
          <w:szCs w:val="32"/>
          <w:shd w:val="clear" w:color="auto" w:fill="FFFFFF"/>
        </w:rPr>
        <w:t>元，占政府采购支出总额的</w:t>
      </w:r>
      <w:r>
        <w:rPr>
          <w:rFonts w:ascii="方正仿宋_GBK" w:hAnsi="方正仿宋_GBK" w:eastAsia="方正仿宋_GBK" w:cs="方正仿宋_GBK"/>
          <w:color w:val="000000" w:themeColor="text1"/>
          <w:sz w:val="32"/>
          <w:szCs w:val="32"/>
        </w:rPr>
        <w:t>0</w:t>
      </w:r>
      <w:r>
        <w:rPr>
          <w:rFonts w:hint="eastAsia" w:ascii="方正仿宋_GBK" w:hAnsi="方正仿宋_GBK" w:eastAsia="方正仿宋_GBK" w:cs="方正仿宋_GBK"/>
          <w:color w:val="000000" w:themeColor="text1"/>
          <w:sz w:val="32"/>
          <w:szCs w:val="32"/>
          <w:lang w:val="en-US" w:eastAsia="zh-CN"/>
        </w:rPr>
        <w:t>.0</w:t>
      </w:r>
      <w:r>
        <w:rPr>
          <w:rFonts w:ascii="方正仿宋_GBK" w:hAnsi="方正仿宋_GBK" w:eastAsia="方正仿宋_GBK" w:cs="方正仿宋_GBK"/>
          <w:color w:val="000000" w:themeColor="text1"/>
          <w:sz w:val="32"/>
          <w:szCs w:val="32"/>
          <w:shd w:val="clear" w:color="auto" w:fill="FFFFFF"/>
        </w:rPr>
        <w:t>%，其中：授予小微企业合同金额</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万元，占政府采购支出总额的</w:t>
      </w:r>
      <w:r>
        <w:rPr>
          <w:rFonts w:ascii="方正仿宋_GBK" w:hAnsi="方正仿宋_GBK" w:eastAsia="方正仿宋_GBK" w:cs="方正仿宋_GBK"/>
          <w:color w:val="000000" w:themeColor="text1"/>
          <w:sz w:val="32"/>
          <w:szCs w:val="32"/>
        </w:rPr>
        <w:t>0</w:t>
      </w:r>
      <w:r>
        <w:rPr>
          <w:rFonts w:hint="eastAsia" w:ascii="方正仿宋_GBK" w:hAnsi="方正仿宋_GBK" w:eastAsia="方正仿宋_GBK" w:cs="方正仿宋_GBK"/>
          <w:color w:val="000000" w:themeColor="text1"/>
          <w:sz w:val="32"/>
          <w:szCs w:val="32"/>
          <w:lang w:val="en-US" w:eastAsia="zh-CN"/>
        </w:rPr>
        <w:t>.0</w:t>
      </w:r>
      <w:r>
        <w:rPr>
          <w:rFonts w:ascii="方正仿宋_GBK" w:hAnsi="方正仿宋_GBK" w:eastAsia="方正仿宋_GBK" w:cs="方正仿宋_GBK"/>
          <w:color w:val="000000" w:themeColor="text1"/>
          <w:sz w:val="32"/>
          <w:szCs w:val="32"/>
          <w:shd w:val="clear" w:color="auto" w:fill="FFFFFF"/>
        </w:rPr>
        <w:t>%。2023年度我单位未发生政府采购事项，无相关经费支出。</w:t>
      </w:r>
    </w:p>
    <w:p>
      <w:pPr>
        <w:ind w:firstLine="643" w:firstLineChars="200"/>
        <w:rPr>
          <w:rStyle w:val="10"/>
          <w:rFonts w:hint="default" w:ascii="方正黑体_GBK" w:hAnsi="黑体" w:eastAsia="方正黑体_GBK" w:cs="黑体"/>
          <w:b w:val="0"/>
        </w:rPr>
      </w:pPr>
      <w:r>
        <w:rPr>
          <w:rStyle w:val="10"/>
          <w:rFonts w:ascii="方正黑体_GBK" w:hAnsi="黑体" w:eastAsia="方正黑体_GBK" w:cs="黑体"/>
          <w:color w:val="000000" w:themeColor="text1"/>
          <w:sz w:val="32"/>
          <w:szCs w:val="32"/>
          <w:shd w:val="clear" w:color="auto" w:fill="FFFFFF"/>
        </w:rPr>
        <w:t>五、</w:t>
      </w:r>
      <w:r>
        <w:rPr>
          <w:rStyle w:val="10"/>
          <w:rFonts w:hint="eastAsia" w:ascii="黑体" w:hAnsi="黑体" w:eastAsia="黑体" w:cs="黑体"/>
          <w:sz w:val="32"/>
          <w:szCs w:val="32"/>
          <w:shd w:val="clear" w:color="auto" w:fill="FFFFFF"/>
          <w:lang w:val="en-US" w:eastAsia="zh-CN" w:bidi="ar-SA"/>
        </w:rPr>
        <w:t>2024年度预算绩效管理情况说明</w:t>
      </w:r>
    </w:p>
    <w:p>
      <w:pPr>
        <w:pStyle w:val="11"/>
        <w:autoSpaceDE w:val="0"/>
        <w:ind w:firstLine="640"/>
        <w:rPr>
          <w:rFonts w:ascii="方正楷体_GBK" w:hAnsi="楷体" w:eastAsia="方正楷体_GBK" w:cs="楷体"/>
          <w:b/>
          <w:bCs/>
          <w:lang w:bidi="ar"/>
        </w:rPr>
      </w:pPr>
      <w:r>
        <w:rPr>
          <w:rFonts w:hint="eastAsia" w:ascii="方正楷体_GBK" w:hAnsi="楷体" w:eastAsia="方正楷体_GBK" w:cs="楷体"/>
          <w:b/>
          <w:bCs/>
          <w:color w:val="000000" w:themeColor="text1"/>
          <w:sz w:val="32"/>
          <w:szCs w:val="32"/>
          <w:shd w:val="clear" w:color="auto" w:fill="FFFFFF"/>
          <w:lang w:bidi="ar"/>
        </w:rPr>
        <w:t>（一）单位自评情况</w:t>
      </w:r>
    </w:p>
    <w:p>
      <w:pPr>
        <w:pStyle w:val="11"/>
        <w:autoSpaceDE w:val="0"/>
        <w:ind w:left="320"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根据预算绩效管理要求，我单位对0个二级项目开展了绩效自评，涉及财政拨款项目支出资金0.00万元。</w:t>
      </w:r>
    </w:p>
    <w:p>
      <w:pPr>
        <w:pStyle w:val="11"/>
        <w:autoSpaceDE w:val="0"/>
        <w:ind w:left="320" w:firstLine="321" w:firstLineChars="10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（二）单位绩效评价情况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我单位未组织开展绩效评价。</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bookmarkStart w:id="0" w:name="_GoBack"/>
      <w:bookmarkEnd w:id="0"/>
      <w:r>
        <w:rPr>
          <w:rFonts w:hint="eastAsia"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王老师   023-74512214</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垫江县教育服务中心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95.01</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垫江县教育服务中心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94.32</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84.32</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垫江县教育服务中心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93.41</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93.41</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垫江县教育服务中心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垫江县教育服务中心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84.32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84.32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垫江县教育服务中心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80.51</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垫江县教育服务中心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垫江县教育服务中心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垫江县教育服务中心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黑体_GBK">
    <w:panose1 w:val="02010600010101010101"/>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E09B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A298F"/>
    <w:rsid w:val="00984C6A"/>
    <w:rsid w:val="00994AF7"/>
    <w:rsid w:val="009B67B8"/>
    <w:rsid w:val="009C14C9"/>
    <w:rsid w:val="009D2B67"/>
    <w:rsid w:val="009E1452"/>
    <w:rsid w:val="00A566F9"/>
    <w:rsid w:val="00AA2393"/>
    <w:rsid w:val="00AF2751"/>
    <w:rsid w:val="00B03CCD"/>
    <w:rsid w:val="00BE2B89"/>
    <w:rsid w:val="00BF0D89"/>
    <w:rsid w:val="00C10E9E"/>
    <w:rsid w:val="00C20C3E"/>
    <w:rsid w:val="00C5163E"/>
    <w:rsid w:val="00CF2ACF"/>
    <w:rsid w:val="00D03AAF"/>
    <w:rsid w:val="00DD0539"/>
    <w:rsid w:val="00E07662"/>
    <w:rsid w:val="00E368E9"/>
    <w:rsid w:val="00EB3688"/>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1C3867"/>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8B302F"/>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1E405BC"/>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2766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7116</Words>
  <Characters>9219</Characters>
  <Lines>93</Lines>
  <Paragraphs>26</Paragraphs>
  <TotalTime>0</TotalTime>
  <ScaleCrop>false</ScaleCrop>
  <LinksUpToDate>false</LinksUpToDate>
  <CharactersWithSpaces>9975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2025-09-22T06:47:28Z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