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垫江县实验小学校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eastAsia="方正仿宋_GBK"/>
          <w:sz w:val="32"/>
        </w:rPr>
      </w:pPr>
      <w:r>
        <w:rPr>
          <w:rFonts w:eastAsia="方正仿宋_GBK"/>
          <w:sz w:val="32"/>
        </w:rPr>
        <w:t>单位现行的职能职责主要是实施小学义务教育；适龄儿童义务教育；全面推进素质教育；学校卫生、安全、稳定；学校经费与校产管理；师资队伍建设；学前儿童教育与保育；制定本区域教育发展规划。</w:t>
      </w:r>
    </w:p>
    <w:p>
      <w:pPr>
        <w:spacing w:line="600" w:lineRule="exact"/>
        <w:ind w:firstLine="643" w:firstLineChars="200"/>
        <w:rPr>
          <w:rFonts w:eastAsia="方正仿宋_GBK"/>
          <w:sz w:val="32"/>
        </w:rPr>
      </w:pPr>
      <w:r>
        <w:rPr>
          <w:rFonts w:eastAsia="方正楷体_GBK"/>
          <w:b/>
          <w:sz w:val="32"/>
        </w:rPr>
        <w:t>（二）机构设置</w:t>
      </w:r>
    </w:p>
    <w:p>
      <w:pPr>
        <w:spacing w:line="600" w:lineRule="exact"/>
        <w:ind w:firstLine="640" w:firstLineChars="200"/>
        <w:rPr>
          <w:rFonts w:eastAsia="方正仿宋_GBK"/>
          <w:sz w:val="32"/>
        </w:rPr>
      </w:pPr>
      <w:r>
        <w:rPr>
          <w:rFonts w:eastAsia="方正仿宋_GBK"/>
          <w:sz w:val="32"/>
        </w:rPr>
        <w:t>本单位内设机构包含：德育处、教务处、教科处、后勤处、安稳办。单位领导职数9名，其中：校长1名、副校长3名；</w:t>
      </w:r>
      <w:r>
        <w:rPr>
          <w:rFonts w:ascii="方正仿宋_GBK" w:hAnsi="仿宋_GB2312" w:eastAsia="方正仿宋_GBK" w:cs="仿宋_GB2312"/>
          <w:sz w:val="32"/>
        </w:rPr>
        <w:t>内设机构领导职数5名。</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r>
        <w:rPr>
          <w:rFonts w:hint="eastAsia" w:ascii="楷体" w:hAnsi="楷体" w:eastAsia="楷体" w:cs="楷体"/>
          <w:b/>
          <w:bCs/>
          <w:sz w:val="32"/>
          <w:szCs w:val="32"/>
          <w:shd w:val="clear" w:color="auto" w:fill="FFFFFF"/>
        </w:rPr>
        <w:t>。</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2024年度收入总计4681.25万元，支出总计</w:t>
      </w:r>
      <w:r>
        <w:rPr>
          <w:rFonts w:ascii="方正仿宋_GBK" w:hAnsi="方正仿宋_GBK" w:eastAsia="方正仿宋_GBK" w:cs="方正仿宋_GBK"/>
          <w:sz w:val="32"/>
          <w:szCs w:val="32"/>
        </w:rPr>
        <w:t>4681.25</w:t>
      </w:r>
      <w:r>
        <w:rPr>
          <w:rFonts w:ascii="方正仿宋_GBK" w:hAnsi="方正仿宋_GBK" w:eastAsia="方正仿宋_GBK" w:cs="方正仿宋_GBK"/>
          <w:sz w:val="32"/>
          <w:szCs w:val="32"/>
          <w:shd w:val="clear" w:color="auto" w:fill="FFFFFF"/>
        </w:rPr>
        <w:t>万元。收、支与2023年度相比，减少350.39万元，下降6.96%，主要原因是2023年清算补发以前年度超额绩效和健康休养费。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2024年度收入合计4616.81万元，与2023年度相比，减少343.84万元，下降6.93%，主要原因是2023年清算补发以前年度超额绩效和健康休养费其中：财政拨款收入</w:t>
      </w:r>
      <w:r>
        <w:rPr>
          <w:rFonts w:ascii="方正仿宋_GBK" w:hAnsi="方正仿宋_GBK" w:eastAsia="方正仿宋_GBK" w:cs="方正仿宋_GBK"/>
          <w:sz w:val="32"/>
          <w:szCs w:val="32"/>
        </w:rPr>
        <w:t>4179.49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90.53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437.32</w:t>
      </w:r>
      <w:r>
        <w:rPr>
          <w:rFonts w:ascii="方正仿宋_GBK" w:hAnsi="方正仿宋_GBK" w:eastAsia="方正仿宋_GBK" w:cs="方正仿宋_GBK"/>
          <w:sz w:val="32"/>
          <w:szCs w:val="32"/>
          <w:shd w:val="clear" w:color="auto" w:fill="FFFFFF"/>
        </w:rPr>
        <w:t>万元，占9.47%。此外，使用非财政拨款结余和专用结余</w:t>
      </w:r>
      <w:r>
        <w:rPr>
          <w:rFonts w:ascii="方正仿宋_GBK" w:hAnsi="方正仿宋_GBK" w:eastAsia="方正仿宋_GBK" w:cs="方正仿宋_GBK"/>
          <w:sz w:val="32"/>
          <w:szCs w:val="32"/>
        </w:rPr>
        <w:t>64.45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4681.25</w:t>
      </w:r>
      <w:r>
        <w:rPr>
          <w:rFonts w:ascii="方正仿宋_GBK" w:hAnsi="方正仿宋_GBK" w:eastAsia="方正仿宋_GBK" w:cs="方正仿宋_GBK"/>
          <w:sz w:val="32"/>
          <w:szCs w:val="32"/>
          <w:shd w:val="clear" w:color="auto" w:fill="FFFFFF"/>
        </w:rPr>
        <w:t>万元，与2023年度相比，减少229.89万元，下降4.68%，主要原因是2023年清算补发以前年度超额绩效和健康休养费。其中：基本支出</w:t>
      </w:r>
      <w:r>
        <w:rPr>
          <w:rFonts w:ascii="方正仿宋_GBK" w:hAnsi="方正仿宋_GBK" w:eastAsia="方正仿宋_GBK" w:cs="方正仿宋_GBK"/>
          <w:sz w:val="32"/>
          <w:szCs w:val="32"/>
        </w:rPr>
        <w:t>4199.93</w:t>
      </w:r>
      <w:r>
        <w:rPr>
          <w:rFonts w:ascii="方正仿宋_GBK" w:hAnsi="方正仿宋_GBK" w:eastAsia="方正仿宋_GBK" w:cs="方正仿宋_GBK"/>
          <w:sz w:val="32"/>
          <w:szCs w:val="32"/>
          <w:shd w:val="clear" w:color="auto" w:fill="FFFFFF"/>
        </w:rPr>
        <w:t>万元，占89.72%；项目支出</w:t>
      </w:r>
      <w:r>
        <w:rPr>
          <w:rFonts w:ascii="方正仿宋_GBK" w:hAnsi="方正仿宋_GBK" w:eastAsia="方正仿宋_GBK" w:cs="方正仿宋_GBK"/>
          <w:sz w:val="32"/>
          <w:szCs w:val="32"/>
        </w:rPr>
        <w:t>481.32</w:t>
      </w:r>
      <w:r>
        <w:rPr>
          <w:rFonts w:ascii="方正仿宋_GBK" w:hAnsi="方正仿宋_GBK" w:eastAsia="方正仿宋_GBK" w:cs="方正仿宋_GBK"/>
          <w:sz w:val="32"/>
          <w:szCs w:val="32"/>
          <w:shd w:val="clear" w:color="auto" w:fill="FFFFFF"/>
        </w:rPr>
        <w:t>万元，占10.28%；经营支出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2024年度财政拨款收、支总计4179.49万元。与2023年相比，财政拨款收、支总计各减少353.76万元，下降7.80%。主要原因是2023年清算补发以前年度超额绩效和健康休养费。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4179.49</w:t>
      </w:r>
      <w:r>
        <w:rPr>
          <w:rFonts w:ascii="方正仿宋_GBK" w:hAnsi="方正仿宋_GBK" w:eastAsia="方正仿宋_GBK" w:cs="方正仿宋_GBK"/>
          <w:sz w:val="32"/>
          <w:szCs w:val="32"/>
          <w:shd w:val="clear" w:color="auto" w:fill="FFFFFF"/>
        </w:rPr>
        <w:t>万元，与2023年度相比，减少353.59万元，下降7.80%。主要原因是2023年清算补发以前年度超额绩效和健康休养费。较年初预算数增加528.00万元，增长14.46%。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4179.49</w:t>
      </w:r>
      <w:r>
        <w:rPr>
          <w:rFonts w:ascii="方正仿宋_GBK" w:hAnsi="方正仿宋_GBK" w:eastAsia="方正仿宋_GBK" w:cs="方正仿宋_GBK"/>
          <w:sz w:val="32"/>
          <w:szCs w:val="32"/>
          <w:shd w:val="clear" w:color="auto" w:fill="FFFFFF"/>
        </w:rPr>
        <w:t>万元，与2023年度相比，减少353.76万元，下降7.80%。主要原因是2023年清算补发以前年度超额绩效和健康休养费。较年初预算数增加528.00万元，增长14.46%。主要原因是超额绩效纳入养老保险和职业年金基数。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3134.23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74.99</w:t>
      </w:r>
      <w:r>
        <w:rPr>
          <w:rFonts w:ascii="方正仿宋_GBK" w:hAnsi="方正仿宋_GBK" w:eastAsia="方正仿宋_GBK" w:cs="方正仿宋_GBK"/>
          <w:sz w:val="32"/>
          <w:szCs w:val="32"/>
          <w:shd w:val="clear" w:color="auto" w:fill="FFFFFF"/>
        </w:rPr>
        <w:t>%，较年初预算数增加335.79万元，增长12.00%，主要原因是本年预算执行中教职工正常晋升、岗位职级变化、教师人数增加等人员经费增加所致。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719.48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17.21</w:t>
      </w:r>
      <w:r>
        <w:rPr>
          <w:rFonts w:ascii="方正仿宋_GBK" w:hAnsi="方正仿宋_GBK" w:eastAsia="方正仿宋_GBK" w:cs="方正仿宋_GBK"/>
          <w:sz w:val="32"/>
          <w:szCs w:val="32"/>
          <w:shd w:val="clear" w:color="auto" w:fill="FFFFFF"/>
        </w:rPr>
        <w:t>%，较年初预算数增加189.32万元，增长35.71%，主要原因是本年预算执行中将超额绩效纳入养老保险和职业年金基数增加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148.95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3.56</w:t>
      </w:r>
      <w:r>
        <w:rPr>
          <w:rFonts w:ascii="方正仿宋_GBK" w:hAnsi="方正仿宋_GBK" w:eastAsia="方正仿宋_GBK" w:cs="方正仿宋_GBK"/>
          <w:sz w:val="32"/>
          <w:szCs w:val="32"/>
          <w:shd w:val="clear" w:color="auto" w:fill="FFFFFF"/>
        </w:rPr>
        <w:t>%，较年初预算数增加2.18万元，增长1.49%，主要原因是本年预算执行中教师人数增多而增加缴费基数。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住房保障支出176.83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4.23</w:t>
      </w:r>
      <w:r>
        <w:rPr>
          <w:rFonts w:ascii="方正仿宋_GBK" w:hAnsi="方正仿宋_GBK" w:eastAsia="方正仿宋_GBK" w:cs="方正仿宋_GBK"/>
          <w:sz w:val="32"/>
          <w:szCs w:val="32"/>
          <w:shd w:val="clear" w:color="auto" w:fill="FFFFFF"/>
        </w:rPr>
        <w:t>%，较年初预算数增加0.71万元，增长0.40%，主要原因是本年预算执行中教师人数增多而增加缴费基数。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3702.08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3644.46</w:t>
      </w:r>
      <w:r>
        <w:rPr>
          <w:rFonts w:ascii="方正仿宋_GBK" w:hAnsi="方正仿宋_GBK" w:eastAsia="方正仿宋_GBK" w:cs="方正仿宋_GBK"/>
          <w:sz w:val="32"/>
          <w:szCs w:val="32"/>
          <w:shd w:val="clear" w:color="auto" w:fill="FFFFFF"/>
        </w:rPr>
        <w:t>万元，与2023年度相比，减少340.30万元，下降8.54%，主要原因是2023年清算补发以前年度超额绩效和健康休养费。人员经费用途主要包括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57.62</w:t>
      </w:r>
      <w:r>
        <w:rPr>
          <w:rFonts w:ascii="方正仿宋_GBK" w:hAnsi="方正仿宋_GBK" w:eastAsia="方正仿宋_GBK" w:cs="方正仿宋_GBK"/>
          <w:sz w:val="32"/>
          <w:szCs w:val="32"/>
          <w:shd w:val="clear" w:color="auto" w:fill="FFFFFF"/>
        </w:rPr>
        <w:t>万元，与2023年度相比，减少5.08万元，下降8.10%，主要原因是工会经费、培训费、福利费的预算基数减少所致。公用经费用途主要包括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11.46</w:t>
      </w:r>
      <w:r>
        <w:rPr>
          <w:rFonts w:ascii="方正仿宋_GBK" w:hAnsi="方正仿宋_GBK" w:eastAsia="方正仿宋_GBK" w:cs="方正仿宋_GBK"/>
          <w:sz w:val="32"/>
          <w:szCs w:val="32"/>
          <w:shd w:val="clear" w:color="auto" w:fill="FFFFFF"/>
        </w:rPr>
        <w:t>万元，与2023年度相比，减少3.47万元，下降23.24%，主要原因是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46.24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46.24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46.24万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46.24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根据预算绩效管理要求，我单位对12个二级项目开展了绩效自评，涉及财政拨款项目支出资金477.41万元。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541645" cy="5454650"/>
            <wp:effectExtent l="0" t="0" r="190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41645" cy="545465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highlight w:val="red"/>
          <w:shd w:val="clear" w:color="auto" w:fill="FFFFFF"/>
          <w:lang w:val="en-US"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611495" cy="5435600"/>
            <wp:effectExtent l="0" t="0" r="825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611495" cy="543560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熊老师   023-74635016</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垫江县实验小学校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4,179.49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3,635.99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437.32</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719.48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148.95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176.83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4,616.81</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4,681.25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64.45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4,681.25</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4,681.25</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垫江县实验小学校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4,616.81</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4,179.49</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437.32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3,571.54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3,134.23</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437.32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3,564.46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3,127.14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437.32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3,564.46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3,127.14</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437.32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7.09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7.09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7.09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7.09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719.48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719.48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719.48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719.48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356.54</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356.54</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180.01</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180.01</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182.93</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182.93</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148.95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148.95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176.83</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176.83</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垫江县实验小学校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4,681.25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4,199.93</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481.32</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3,635.99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3,155.28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480.71</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3,628.90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3,148.19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480.71</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3,628.90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3,148.19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480.71</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7.09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7.09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7.09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7.09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719.48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718.86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0.62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719.48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718.86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0.62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356.54</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356.54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180.01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180.01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182.93</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182.32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0.62</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148.95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148.95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176.83</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176.83</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垫江县实验小学校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4,179.49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3,134.23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3,134.23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719.48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719.48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148.95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148.95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176.83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176.83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4,179.49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4,179.49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4,179.49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4,179.49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4,179.49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4,179.49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垫江县实验小学校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4,179.49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3,702.08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477.41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3,134.23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2,657.44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476.79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3,127.14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2,650.35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476.79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3,127.14</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2,650.35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476.79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7.09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7.09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7.09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7.09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719.48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718.86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0.62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719.48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718.86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0.62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356.54</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356.54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180.01</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180.01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182.93</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182.32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0.62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148.95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148.95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148.95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176.83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176.83</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176.83</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垫江县实验小学校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3,462.14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57.62</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843.75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31.02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1,691.41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356.54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180.01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148.95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176.83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28.48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182.32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7.09</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154.87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17.61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15.45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32.93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3,644.46</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57.62</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垫江县实验小学校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垫江县实验小学校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垫江县实验小学校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46.24</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46.24</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46.24</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46.24</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11.46</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8.43</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0713AA"/>
    <w:rsid w:val="00173EEA"/>
    <w:rsid w:val="001D3BB7"/>
    <w:rsid w:val="002B254B"/>
    <w:rsid w:val="00466C9B"/>
    <w:rsid w:val="004848FF"/>
    <w:rsid w:val="00550ABE"/>
    <w:rsid w:val="00770383"/>
    <w:rsid w:val="007819D4"/>
    <w:rsid w:val="007A4542"/>
    <w:rsid w:val="007B419D"/>
    <w:rsid w:val="007B7C4B"/>
    <w:rsid w:val="007D3D39"/>
    <w:rsid w:val="00994AF7"/>
    <w:rsid w:val="009B67B8"/>
    <w:rsid w:val="009D2B67"/>
    <w:rsid w:val="00A566F9"/>
    <w:rsid w:val="00AF2751"/>
    <w:rsid w:val="00B03CCD"/>
    <w:rsid w:val="00B22CF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D672BD"/>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1F2213"/>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3B6B63"/>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3C7616D"/>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8329</Words>
  <Characters>10906</Characters>
  <Lines>97</Lines>
  <Paragraphs>27</Paragraphs>
  <TotalTime>1</TotalTime>
  <ScaleCrop>false</ScaleCrop>
  <LinksUpToDate>false</LinksUpToDate>
  <CharactersWithSpaces>11930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2025-09-22T07:55:21Z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