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实施初中义务教育、适龄青少年义务教育；全面推进素质教育；学校卫生、安全、稳定；学校经费与校产管理；师资队伍建设；制定本区域教育发展规划。</w:t>
      </w:r>
    </w:p>
    <w:p>
      <w:pPr>
        <w:spacing w:line="600" w:lineRule="exact"/>
        <w:ind w:firstLine="643" w:firstLineChars="200"/>
        <w:rPr>
          <w:rFonts w:hint="default" w:eastAsia="方正楷体_GBK"/>
          <w:b/>
          <w:sz w:val="32"/>
          <w:szCs w:val="32"/>
        </w:rPr>
      </w:pPr>
      <w:r>
        <w:rPr>
          <w:rFonts w:eastAsia="方正楷体_GBK"/>
          <w:b/>
          <w:sz w:val="32"/>
          <w:szCs w:val="32"/>
        </w:rPr>
        <w:t>（二）机构设置</w:t>
      </w:r>
    </w:p>
    <w:p>
      <w:pPr>
        <w:spacing w:line="600" w:lineRule="exact"/>
        <w:ind w:firstLine="640" w:firstLineChars="200"/>
        <w:rPr>
          <w:rFonts w:hint="default" w:eastAsia="方正仿宋_GBK"/>
          <w:sz w:val="32"/>
          <w:szCs w:val="32"/>
        </w:rPr>
      </w:pPr>
      <w:r>
        <w:rPr>
          <w:rFonts w:eastAsia="方正仿宋_GBK"/>
          <w:sz w:val="32"/>
          <w:szCs w:val="32"/>
        </w:rPr>
        <w:t>学校单位领导职数4名(校长1名、副校长3名)，内设机构领导职数5名，内设机构有德育处、教务处、教科处、后勤处、安稳办。</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r>
        <w:rPr>
          <w:rFonts w:hint="eastAsia" w:ascii="楷体" w:hAnsi="楷体" w:eastAsia="楷体" w:cs="楷体"/>
          <w:b/>
          <w:bCs/>
          <w:sz w:val="32"/>
          <w:szCs w:val="32"/>
          <w:shd w:val="clear" w:color="auto" w:fill="FFFFFF"/>
        </w:rPr>
        <w:t>。</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2024年度收入总计2094.74万元，支出总计</w:t>
      </w:r>
      <w:r>
        <w:rPr>
          <w:rFonts w:ascii="方正仿宋_GBK" w:hAnsi="方正仿宋_GBK" w:eastAsia="方正仿宋_GBK" w:cs="方正仿宋_GBK"/>
          <w:sz w:val="32"/>
          <w:szCs w:val="32"/>
        </w:rPr>
        <w:t>2094.74</w:t>
      </w:r>
      <w:r>
        <w:rPr>
          <w:rFonts w:ascii="方正仿宋_GBK" w:hAnsi="方正仿宋_GBK" w:eastAsia="方正仿宋_GBK" w:cs="方正仿宋_GBK"/>
          <w:sz w:val="32"/>
          <w:szCs w:val="32"/>
          <w:shd w:val="clear" w:color="auto" w:fill="FFFFFF"/>
        </w:rPr>
        <w:t>万元。收、支与2023年度相比，减少515.93万元，下降19.76%，主要原因是2023年清算补发以前年度超额绩效和健康休养费。</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2024年度收入合计2059.52万元，与2023年度相比，减少509.70万元，下降19.84%，主要原因是2023年清算补发以前年度超额绩效和健康休养费。其中：财政拨款收入</w:t>
      </w:r>
      <w:r>
        <w:rPr>
          <w:rFonts w:ascii="方正仿宋_GBK" w:hAnsi="方正仿宋_GBK" w:eastAsia="方正仿宋_GBK" w:cs="方正仿宋_GBK"/>
          <w:sz w:val="32"/>
          <w:szCs w:val="32"/>
        </w:rPr>
        <w:t>1982.99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96.28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76.53</w:t>
      </w:r>
      <w:r>
        <w:rPr>
          <w:rFonts w:ascii="方正仿宋_GBK" w:hAnsi="方正仿宋_GBK" w:eastAsia="方正仿宋_GBK" w:cs="方正仿宋_GBK"/>
          <w:sz w:val="32"/>
          <w:szCs w:val="32"/>
          <w:shd w:val="clear" w:color="auto" w:fill="FFFFFF"/>
        </w:rPr>
        <w:t>万元，占3.72%。此外，使用非财政拨款结余和专用结余</w:t>
      </w:r>
      <w:r>
        <w:rPr>
          <w:rFonts w:ascii="方正仿宋_GBK" w:hAnsi="方正仿宋_GBK" w:eastAsia="方正仿宋_GBK" w:cs="方正仿宋_GBK"/>
          <w:sz w:val="32"/>
          <w:szCs w:val="32"/>
        </w:rPr>
        <w:t>34.69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0.53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2088.21</w:t>
      </w:r>
      <w:r>
        <w:rPr>
          <w:rFonts w:ascii="方正仿宋_GBK" w:hAnsi="方正仿宋_GBK" w:eastAsia="方正仿宋_GBK" w:cs="方正仿宋_GBK"/>
          <w:sz w:val="32"/>
          <w:szCs w:val="32"/>
          <w:shd w:val="clear" w:color="auto" w:fill="FFFFFF"/>
        </w:rPr>
        <w:t>万元，与2023年度相比，减少467.92万元，下降18.31%，主要原因是2023年清算补发以前年度超额绩效和健康休养费。其中：基本支出</w:t>
      </w:r>
      <w:r>
        <w:rPr>
          <w:rFonts w:ascii="方正仿宋_GBK" w:hAnsi="方正仿宋_GBK" w:eastAsia="方正仿宋_GBK" w:cs="方正仿宋_GBK"/>
          <w:sz w:val="32"/>
          <w:szCs w:val="32"/>
        </w:rPr>
        <w:t>1973.62</w:t>
      </w:r>
      <w:r>
        <w:rPr>
          <w:rFonts w:ascii="方正仿宋_GBK" w:hAnsi="方正仿宋_GBK" w:eastAsia="方正仿宋_GBK" w:cs="方正仿宋_GBK"/>
          <w:sz w:val="32"/>
          <w:szCs w:val="32"/>
          <w:shd w:val="clear" w:color="auto" w:fill="FFFFFF"/>
        </w:rPr>
        <w:t>万元，占94.51%；项目支出</w:t>
      </w:r>
      <w:r>
        <w:rPr>
          <w:rFonts w:ascii="方正仿宋_GBK" w:hAnsi="方正仿宋_GBK" w:eastAsia="方正仿宋_GBK" w:cs="方正仿宋_GBK"/>
          <w:sz w:val="32"/>
          <w:szCs w:val="32"/>
        </w:rPr>
        <w:t>114.58</w:t>
      </w:r>
      <w:r>
        <w:rPr>
          <w:rFonts w:ascii="方正仿宋_GBK" w:hAnsi="方正仿宋_GBK" w:eastAsia="方正仿宋_GBK" w:cs="方正仿宋_GBK"/>
          <w:sz w:val="32"/>
          <w:szCs w:val="32"/>
          <w:shd w:val="clear" w:color="auto" w:fill="FFFFFF"/>
        </w:rPr>
        <w:t>万元，占5.49%；经营支出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6.53</w:t>
      </w:r>
      <w:r>
        <w:rPr>
          <w:rFonts w:ascii="方正仿宋_GBK" w:hAnsi="方正仿宋_GBK" w:eastAsia="方正仿宋_GBK" w:cs="方正仿宋_GBK"/>
          <w:sz w:val="32"/>
          <w:szCs w:val="32"/>
          <w:shd w:val="clear" w:color="auto" w:fill="FFFFFF"/>
        </w:rPr>
        <w:t>万元，与2023年度相比，增加6.00万元，增长1132.08%，主要原因是捐赠资金结转至2025年使用。</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2024年度财政拨款收、支总计1982.99万元。与2023年相比，财政拨款收、支总计各减少466.98万元，下降19.06%。主要原因是2023年清算补发以前年度超额绩效和健康休养费。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1982.99</w:t>
      </w:r>
      <w:r>
        <w:rPr>
          <w:rFonts w:ascii="方正仿宋_GBK" w:hAnsi="方正仿宋_GBK" w:eastAsia="方正仿宋_GBK" w:cs="方正仿宋_GBK"/>
          <w:sz w:val="32"/>
          <w:szCs w:val="32"/>
          <w:shd w:val="clear" w:color="auto" w:fill="FFFFFF"/>
        </w:rPr>
        <w:t>万元，与2023年度相比，减少466.98万元，下降19.06%。主要原因是2023年清算补发以前年度超额绩效和健康休养费。较年初预算数增加120.00万元，增长6.44%。主要原因是追加补缴了以前年度养老保险和职业年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1982.99</w:t>
      </w:r>
      <w:r>
        <w:rPr>
          <w:rFonts w:ascii="方正仿宋_GBK" w:hAnsi="方正仿宋_GBK" w:eastAsia="方正仿宋_GBK" w:cs="方正仿宋_GBK"/>
          <w:sz w:val="32"/>
          <w:szCs w:val="32"/>
          <w:shd w:val="clear" w:color="auto" w:fill="FFFFFF"/>
        </w:rPr>
        <w:t>万元，与2023年度相比，减少466.98万元，下降19.06%。主要原因是2023年清算补发以前年度超额绩效和健康休养费。较年初预算数增加120.00万元，增长6.44%。主要原因是追加补缴了以前年度养老保险和职业年金。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1484.08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74.84</w:t>
      </w:r>
      <w:r>
        <w:rPr>
          <w:rFonts w:ascii="方正仿宋_GBK" w:hAnsi="方正仿宋_GBK" w:eastAsia="方正仿宋_GBK" w:cs="方正仿宋_GBK"/>
          <w:sz w:val="32"/>
          <w:szCs w:val="32"/>
          <w:shd w:val="clear" w:color="auto" w:fill="FFFFFF"/>
        </w:rPr>
        <w:t>%，较年初预算数增加48.84万元，增长3.40%，主要原因是2023年清算补发以前年度超额绩效和健康休养费。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329.26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16.60</w:t>
      </w:r>
      <w:r>
        <w:rPr>
          <w:rFonts w:ascii="方正仿宋_GBK" w:hAnsi="方正仿宋_GBK" w:eastAsia="方正仿宋_GBK" w:cs="方正仿宋_GBK"/>
          <w:sz w:val="32"/>
          <w:szCs w:val="32"/>
          <w:shd w:val="clear" w:color="auto" w:fill="FFFFFF"/>
        </w:rPr>
        <w:t>%，较年初预算数增加89.67万元，增长37.43%，主要原因是补缴了以前年度养老保险和职业年金。</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77.11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%，较年初预算数减少8.42万元，下降9.84%，主要原因是教职工退休后减少缴费基数。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住房保障支出92.53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4.67</w:t>
      </w:r>
      <w:r>
        <w:rPr>
          <w:rFonts w:ascii="方正仿宋_GBK" w:hAnsi="方正仿宋_GBK" w:eastAsia="方正仿宋_GBK" w:cs="方正仿宋_GBK"/>
          <w:sz w:val="32"/>
          <w:szCs w:val="32"/>
          <w:shd w:val="clear" w:color="auto" w:fill="FFFFFF"/>
        </w:rPr>
        <w:t>%，较年初预算数减少10.10万元，下降9.84%，主要原因是教职工退休后减少缴费基数。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bookmarkStart w:id="0" w:name="_GoBack"/>
      <w:bookmarkEnd w:id="0"/>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1868.41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1838.50</w:t>
      </w:r>
      <w:r>
        <w:rPr>
          <w:rFonts w:ascii="方正仿宋_GBK" w:hAnsi="方正仿宋_GBK" w:eastAsia="方正仿宋_GBK" w:cs="方正仿宋_GBK"/>
          <w:sz w:val="32"/>
          <w:szCs w:val="32"/>
          <w:shd w:val="clear" w:color="auto" w:fill="FFFFFF"/>
        </w:rPr>
        <w:t>万元，与2023年度相比，减少356.57万元，下降16.24%，主要原因是2023年清算补发以前年度超额绩效和健康休养费。人员经费用途主要包括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29.91</w:t>
      </w:r>
      <w:r>
        <w:rPr>
          <w:rFonts w:ascii="方正仿宋_GBK" w:hAnsi="方正仿宋_GBK" w:eastAsia="方正仿宋_GBK" w:cs="方正仿宋_GBK"/>
          <w:sz w:val="32"/>
          <w:szCs w:val="32"/>
          <w:shd w:val="clear" w:color="auto" w:fill="FFFFFF"/>
        </w:rPr>
        <w:t>万元，与2023年度相比，减少7.49万元，下降20.03%，主要原因是工会经费、培训费、福利费的预算基数减少所致。公用经费用途主要包括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12.26</w:t>
      </w:r>
      <w:r>
        <w:rPr>
          <w:rFonts w:ascii="方正仿宋_GBK" w:hAnsi="方正仿宋_GBK" w:eastAsia="方正仿宋_GBK" w:cs="方正仿宋_GBK"/>
          <w:sz w:val="32"/>
          <w:szCs w:val="32"/>
          <w:shd w:val="clear" w:color="auto" w:fill="FFFFFF"/>
        </w:rPr>
        <w:t>万元，与2023年度相比，增加3.61万元，增长41.73%，主要原因是学校加大了师资队伍的建设和培训。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根据预算绩效管理要求，我单位对9个二级项目开展了绩效自评，涉及财政拨款项目支出资金114.58万元。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567680" cy="4872355"/>
            <wp:effectExtent l="0" t="0" r="444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67680" cy="4872355"/>
                    </a:xfrm>
                    <a:prstGeom prst="rect">
                      <a:avLst/>
                    </a:prstGeom>
                    <a:noFill/>
                    <a:ln>
                      <a:noFill/>
                    </a:ln>
                  </pic:spPr>
                </pic:pic>
              </a:graphicData>
            </a:graphic>
          </wp:inline>
        </w:drawing>
      </w:r>
      <w:r>
        <w:t xml:space="preserve"> </w:t>
      </w:r>
      <w:r>
        <w:drawing>
          <wp:inline distT="0" distB="0" distL="114300" distR="114300">
            <wp:extent cx="5391785" cy="4946015"/>
            <wp:effectExtent l="0" t="0" r="889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91785" cy="4946015"/>
                    </a:xfrm>
                    <a:prstGeom prst="rect">
                      <a:avLst/>
                    </a:prstGeom>
                    <a:noFill/>
                    <a:ln>
                      <a:noFill/>
                    </a:ln>
                  </pic:spPr>
                </pic:pic>
              </a:graphicData>
            </a:graphic>
          </wp:inline>
        </w:drawing>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rPr>
        <w:t>徐老师   023-74575466</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垫江县沙坪中学校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1,982.99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1,589.29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2,059.52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2,094.74</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2,094.74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垫江县沙坪中学校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2,059.52</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1,982.99</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1,560.60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1,484.08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1,556.62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1,480.09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1,556.62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1,480.09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垫江县沙坪中学校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2,088.21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1,973.62</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114.58</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1,589.29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1,474.85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1,585.31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1,470.87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1,585.31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1,470.87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垫江县沙坪中学校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1,982.99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329.26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329.26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1,982.99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1,982.99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垫江县沙坪中学校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1,982.99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1,868.41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1,369.64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1,480.09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1,365.66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1,480.09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1,365.66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329.26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77.11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92.53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垫江县沙坪中学校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1,794.81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827.91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1,838.50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垫江县沙坪中学校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垫江县沙坪中学校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垫江县沙坪中学校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12.26</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5.15</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E02D0"/>
    <w:rsid w:val="00466C9B"/>
    <w:rsid w:val="00506B4E"/>
    <w:rsid w:val="00550ABE"/>
    <w:rsid w:val="00560211"/>
    <w:rsid w:val="006D20A6"/>
    <w:rsid w:val="00770383"/>
    <w:rsid w:val="007819D4"/>
    <w:rsid w:val="007B419D"/>
    <w:rsid w:val="007B7C4B"/>
    <w:rsid w:val="007D3D39"/>
    <w:rsid w:val="00822C6F"/>
    <w:rsid w:val="00994AF7"/>
    <w:rsid w:val="009B67B8"/>
    <w:rsid w:val="009D2B67"/>
    <w:rsid w:val="00A566F9"/>
    <w:rsid w:val="00A966AD"/>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E05F57"/>
    <w:rsid w:val="0BF2311A"/>
    <w:rsid w:val="0C2A5909"/>
    <w:rsid w:val="0C7927C4"/>
    <w:rsid w:val="0C9B098C"/>
    <w:rsid w:val="0D5C7961"/>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474256"/>
    <w:rsid w:val="38BE4696"/>
    <w:rsid w:val="38C850B2"/>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42165E"/>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8261</Words>
  <Characters>10765</Characters>
  <Lines>96</Lines>
  <Paragraphs>27</Paragraphs>
  <TotalTime>0</TotalTime>
  <ScaleCrop>false</ScaleCrop>
  <LinksUpToDate>false</LinksUpToDate>
  <CharactersWithSpaces>11787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2025-09-22T08:06:13Z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