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垫江县界尺小学校</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2024年度决算公开说明</w:t>
      </w:r>
    </w:p>
    <w:p>
      <w:pPr>
        <w:spacing w:line="600" w:lineRule="exact"/>
        <w:ind w:firstLine="640" w:firstLineChars="200"/>
        <w:rPr>
          <w:rFonts w:ascii="方正黑体_GBK" w:hAnsi="黑体" w:eastAsia="方正黑体_GBK" w:cs="仿宋_GB2312"/>
          <w:sz w:val="32"/>
          <w:szCs w:val="32"/>
        </w:rPr>
      </w:pP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一、单位基本情况</w:t>
      </w:r>
    </w:p>
    <w:p>
      <w:pPr>
        <w:spacing w:line="600" w:lineRule="exact"/>
        <w:ind w:firstLine="643" w:firstLineChars="200"/>
        <w:rPr>
          <w:rFonts w:hint="default" w:eastAsia="方正楷体_GBK"/>
          <w:b/>
          <w:bCs/>
          <w:sz w:val="32"/>
          <w:szCs w:val="32"/>
        </w:rPr>
      </w:pPr>
      <w:r>
        <w:rPr>
          <w:rFonts w:eastAsia="方正楷体_GBK"/>
          <w:b/>
          <w:bCs/>
          <w:sz w:val="32"/>
          <w:szCs w:val="32"/>
        </w:rPr>
        <w:t>（一）职能职责</w:t>
      </w:r>
    </w:p>
    <w:p>
      <w:pPr>
        <w:spacing w:line="600" w:lineRule="exact"/>
        <w:ind w:firstLine="640" w:firstLineChars="200"/>
        <w:rPr>
          <w:rFonts w:hint="default" w:eastAsia="方正仿宋_GBK"/>
          <w:sz w:val="32"/>
          <w:szCs w:val="32"/>
        </w:rPr>
      </w:pPr>
      <w:r>
        <w:rPr>
          <w:rFonts w:eastAsia="方正仿宋_GBK" w:cs="方正仿宋_GBK"/>
          <w:sz w:val="32"/>
          <w:szCs w:val="32"/>
        </w:rPr>
        <w:t>实施小学义务教育。适龄儿童义务教育；全面推进素质教育；学校卫生、安全、稳定；学校经费与校产管理；师资队伍建设；学前儿童教育与保育，制定本区域教育发展规划。</w:t>
      </w:r>
    </w:p>
    <w:p>
      <w:pPr>
        <w:pStyle w:val="11"/>
        <w:tabs>
          <w:tab w:val="center" w:pos="4153"/>
          <w:tab w:val="left" w:pos="7275"/>
        </w:tabs>
        <w:spacing w:line="600" w:lineRule="exact"/>
        <w:ind w:left="640" w:firstLine="200" w:firstLineChars="0"/>
        <w:rPr>
          <w:rFonts w:eastAsia="方正楷体_GBK"/>
          <w:b/>
          <w:bCs/>
          <w:sz w:val="32"/>
          <w:szCs w:val="32"/>
        </w:rPr>
      </w:pPr>
      <w:r>
        <w:rPr>
          <w:rFonts w:hint="eastAsia" w:eastAsia="方正楷体_GBK" w:cs="方正楷体_GBK"/>
          <w:b/>
          <w:bCs/>
          <w:sz w:val="32"/>
          <w:szCs w:val="32"/>
        </w:rPr>
        <w:t>（二）机构设置</w:t>
      </w:r>
    </w:p>
    <w:p>
      <w:pPr>
        <w:spacing w:line="600" w:lineRule="exact"/>
        <w:ind w:firstLine="640" w:firstLineChars="200"/>
        <w:rPr>
          <w:rFonts w:hint="default" w:ascii="方正仿宋_GBK" w:eastAsia="方正仿宋_GBK"/>
          <w:sz w:val="32"/>
          <w:szCs w:val="32"/>
        </w:rPr>
      </w:pPr>
      <w:r>
        <w:rPr>
          <w:rFonts w:ascii="方正仿宋_GBK" w:eastAsia="方正仿宋_GBK"/>
          <w:sz w:val="32"/>
          <w:szCs w:val="32"/>
        </w:rPr>
        <w:t>本单位内设机构包含：德育处、教务处、教科处、后勤处。单位领导职数7名，其中：校长1名、副校长2名；内设机构领导职数4名。</w:t>
      </w: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二、单位决算收支情况说明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（一）收入支出决算总体情况说明</w:t>
      </w:r>
    </w:p>
    <w:p>
      <w:pPr>
        <w:pStyle w:val="6"/>
        <w:shd w:val="clear" w:color="auto" w:fill="FFFFFF"/>
        <w:spacing w:before="0" w:beforeAutospacing="0" w:after="0" w:afterAutospacing="0" w:line="600"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2024年度收入总计959.85万元，支出总计</w:t>
      </w:r>
      <w:r>
        <w:rPr>
          <w:rFonts w:ascii="方正仿宋_GBK" w:hAnsi="方正仿宋_GBK" w:eastAsia="方正仿宋_GBK" w:cs="方正仿宋_GBK"/>
          <w:sz w:val="32"/>
          <w:szCs w:val="32"/>
        </w:rPr>
        <w:t>959.85</w:t>
      </w:r>
      <w:r>
        <w:rPr>
          <w:rFonts w:ascii="方正仿宋_GBK" w:hAnsi="方正仿宋_GBK" w:eastAsia="方正仿宋_GBK" w:cs="方正仿宋_GBK"/>
          <w:sz w:val="32"/>
          <w:szCs w:val="32"/>
          <w:shd w:val="clear" w:color="auto" w:fill="FFFFFF"/>
        </w:rPr>
        <w:t>万元。收、支与2023年度相比，增加83.81万元，增长9.57%，主要原因是财政拨入土地出让金后导致收支增加。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2024年度收入合计955.73万元，与2023年度相比，增加95.43万元，增长11.09%，主要原因是财政拨入土地出让金后导致收入增加。其中：财政拨款收入</w:t>
      </w:r>
      <w:r>
        <w:rPr>
          <w:rFonts w:ascii="方正仿宋_GBK" w:hAnsi="方正仿宋_GBK" w:eastAsia="方正仿宋_GBK" w:cs="方正仿宋_GBK"/>
          <w:sz w:val="32"/>
          <w:szCs w:val="32"/>
        </w:rPr>
        <w:t>934.64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97.79</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8.34</w:t>
      </w:r>
      <w:r>
        <w:rPr>
          <w:rFonts w:ascii="方正仿宋_GBK" w:hAnsi="方正仿宋_GBK" w:eastAsia="方正仿宋_GBK" w:cs="方正仿宋_GBK"/>
          <w:sz w:val="32"/>
          <w:szCs w:val="32"/>
          <w:shd w:val="clear" w:color="auto" w:fill="FFFFFF"/>
        </w:rPr>
        <w:t>万元，占0.87%；经营收入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12.74</w:t>
      </w:r>
      <w:r>
        <w:rPr>
          <w:rFonts w:ascii="方正仿宋_GBK" w:hAnsi="方正仿宋_GBK" w:eastAsia="方正仿宋_GBK" w:cs="方正仿宋_GBK"/>
          <w:sz w:val="32"/>
          <w:szCs w:val="32"/>
          <w:shd w:val="clear" w:color="auto" w:fill="FFFFFF"/>
        </w:rPr>
        <w:t>万元，占1.33%。此外，使用非财政拨款结余和专用结余</w:t>
      </w:r>
      <w:r>
        <w:rPr>
          <w:rFonts w:ascii="方正仿宋_GBK" w:hAnsi="方正仿宋_GBK" w:eastAsia="方正仿宋_GBK" w:cs="方正仿宋_GBK"/>
          <w:sz w:val="32"/>
          <w:szCs w:val="32"/>
        </w:rPr>
        <w:t>4.12</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959.85</w:t>
      </w:r>
      <w:r>
        <w:rPr>
          <w:rFonts w:ascii="方正仿宋_GBK" w:hAnsi="方正仿宋_GBK" w:eastAsia="方正仿宋_GBK" w:cs="方正仿宋_GBK"/>
          <w:sz w:val="32"/>
          <w:szCs w:val="32"/>
          <w:shd w:val="clear" w:color="auto" w:fill="FFFFFF"/>
        </w:rPr>
        <w:t>万元，与2023年度相比，增加95.39万元，增长11.03%，主要原因是财政拨入土地出让金后导致支出增加。其中：基本支出</w:t>
      </w:r>
      <w:r>
        <w:rPr>
          <w:rFonts w:ascii="方正仿宋_GBK" w:hAnsi="方正仿宋_GBK" w:eastAsia="方正仿宋_GBK" w:cs="方正仿宋_GBK"/>
          <w:sz w:val="32"/>
          <w:szCs w:val="32"/>
        </w:rPr>
        <w:t>697.52</w:t>
      </w:r>
      <w:r>
        <w:rPr>
          <w:rFonts w:ascii="方正仿宋_GBK" w:hAnsi="方正仿宋_GBK" w:eastAsia="方正仿宋_GBK" w:cs="方正仿宋_GBK"/>
          <w:sz w:val="32"/>
          <w:szCs w:val="32"/>
          <w:shd w:val="clear" w:color="auto" w:fill="FFFFFF"/>
        </w:rPr>
        <w:t>万元，占72.67%；项目支出</w:t>
      </w:r>
      <w:r>
        <w:rPr>
          <w:rFonts w:ascii="方正仿宋_GBK" w:hAnsi="方正仿宋_GBK" w:eastAsia="方正仿宋_GBK" w:cs="方正仿宋_GBK"/>
          <w:sz w:val="32"/>
          <w:szCs w:val="32"/>
        </w:rPr>
        <w:t>262.32</w:t>
      </w:r>
      <w:r>
        <w:rPr>
          <w:rFonts w:ascii="方正仿宋_GBK" w:hAnsi="方正仿宋_GBK" w:eastAsia="方正仿宋_GBK" w:cs="方正仿宋_GBK"/>
          <w:sz w:val="32"/>
          <w:szCs w:val="32"/>
          <w:shd w:val="clear" w:color="auto" w:fill="FFFFFF"/>
        </w:rPr>
        <w:t>万元，占27.33%；经营支出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楷体_GBK" w:hAnsi="方正仿宋_GBK" w:eastAsia="方正楷体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万元，与2023年度相比，无增减，主要原因是2023年和2024年均无结转和结余</w:t>
      </w:r>
      <w:r>
        <w:rPr>
          <w:rFonts w:ascii="方正楷体_GBK" w:hAnsi="方正仿宋_GBK" w:eastAsia="方正楷体_GBK" w:cs="方正仿宋_GBK"/>
          <w:sz w:val="32"/>
          <w:szCs w:val="32"/>
          <w:shd w:val="clear" w:color="auto" w:fill="FFFFFF"/>
        </w:rPr>
        <w:t>。</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2024年度财政拨款收、支总计934.64万元。与2023年相比，财政拨款收、支总计各增加120.47万元，增长14.80%。主要原因是财政拨入土地出让金后导致收支增加。</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735.06</w:t>
      </w:r>
      <w:r>
        <w:rPr>
          <w:rFonts w:ascii="方正仿宋_GBK" w:hAnsi="方正仿宋_GBK" w:eastAsia="方正仿宋_GBK" w:cs="方正仿宋_GBK"/>
          <w:sz w:val="32"/>
          <w:szCs w:val="32"/>
          <w:shd w:val="clear" w:color="auto" w:fill="FFFFFF"/>
        </w:rPr>
        <w:t>万元，与2023年度相比，减少78.37万元，下降9.63%。主要原因是2023年清算补发以前年度超额绩效和健康休养费。较年初预算数增加73.33万元，增长11.08%。主要原因是超额绩效纳入养老保险和职业年金缴费基数。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735.06</w:t>
      </w:r>
      <w:r>
        <w:rPr>
          <w:rFonts w:ascii="方正仿宋_GBK" w:hAnsi="方正仿宋_GBK" w:eastAsia="方正仿宋_GBK" w:cs="方正仿宋_GBK"/>
          <w:sz w:val="32"/>
          <w:szCs w:val="32"/>
          <w:shd w:val="clear" w:color="auto" w:fill="FFFFFF"/>
        </w:rPr>
        <w:t>万元，与2023年度相比，减少79.11万元，下降9.72%。主要原因是2023年清算补发以前年度超额绩效和健康休养费。较年初预算数增加73.33万元，增长11.08%。主要原因是超额绩效纳入养老保险和职业年金缴费基数。</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万元，与2023年度相比，无增减，主要原因是2023年和2024年均无一般公共预算财政拨款结转和结余。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468.90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63.79</w:t>
      </w:r>
      <w:r>
        <w:rPr>
          <w:rFonts w:ascii="方正仿宋_GBK" w:hAnsi="方正仿宋_GBK" w:eastAsia="方正仿宋_GBK" w:cs="方正仿宋_GBK"/>
          <w:sz w:val="32"/>
          <w:szCs w:val="32"/>
          <w:shd w:val="clear" w:color="auto" w:fill="FFFFFF"/>
        </w:rPr>
        <w:t>%，较年初预算数增加39.71万元，增长9.25%，主要原因是本年预算执行中因教职工正常晋升、岗位职级变化等人员经费增加所致。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214.16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29.14</w:t>
      </w:r>
      <w:r>
        <w:rPr>
          <w:rFonts w:ascii="方正仿宋_GBK" w:hAnsi="方正仿宋_GBK" w:eastAsia="方正仿宋_GBK" w:cs="方正仿宋_GBK"/>
          <w:sz w:val="32"/>
          <w:szCs w:val="32"/>
          <w:shd w:val="clear" w:color="auto" w:fill="FFFFFF"/>
        </w:rPr>
        <w:t>%，较年初预算数增加34.53万元，增长19.22%，主要原因是本年预算执行中将超额绩效纳入养老保险和职业年金基数增加</w:t>
      </w:r>
      <w:r>
        <w:rPr>
          <w:rFonts w:hint="eastAsia" w:ascii="方正仿宋_GBK" w:hAnsi="方正仿宋_GBK" w:eastAsia="方正仿宋_GBK" w:cs="方正仿宋_GBK"/>
          <w:sz w:val="32"/>
          <w:szCs w:val="32"/>
          <w:shd w:val="clear" w:color="auto" w:fill="FFFFFF"/>
          <w:lang w:val="en-US" w:eastAsia="zh-CN"/>
        </w:rPr>
        <w:t>所</w:t>
      </w:r>
      <w:r>
        <w:rPr>
          <w:rFonts w:ascii="方正仿宋_GBK" w:hAnsi="方正仿宋_GBK" w:eastAsia="方正仿宋_GBK" w:cs="方正仿宋_GBK"/>
          <w:sz w:val="32"/>
          <w:szCs w:val="32"/>
          <w:shd w:val="clear" w:color="auto" w:fill="FFFFFF"/>
        </w:rPr>
        <w:t>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24.12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3.28</w:t>
      </w:r>
      <w:r>
        <w:rPr>
          <w:rFonts w:ascii="方正仿宋_GBK" w:hAnsi="方正仿宋_GBK" w:eastAsia="方正仿宋_GBK" w:cs="方正仿宋_GBK"/>
          <w:sz w:val="32"/>
          <w:szCs w:val="32"/>
          <w:shd w:val="clear" w:color="auto" w:fill="FFFFFF"/>
        </w:rPr>
        <w:t>%，较年初预算数增加0.07万元，增长0.29%，主要原因是本年预算执行中补缴职工医疗保险费所致。</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住房保障支出27.88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3.79</w:t>
      </w:r>
      <w:r>
        <w:rPr>
          <w:rFonts w:ascii="方正仿宋_GBK" w:hAnsi="方正仿宋_GBK" w:eastAsia="方正仿宋_GBK" w:cs="方正仿宋_GBK"/>
          <w:sz w:val="32"/>
          <w:szCs w:val="32"/>
          <w:shd w:val="clear" w:color="auto" w:fill="FFFFFF"/>
        </w:rPr>
        <w:t>%，较年初预算数减少0.98万元，下降3.40%，主要原因是本年预算执行中因教职工退休后减少了缴费基数。</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（四）一般公共预算财政拨款基本支出决算情况说明</w:t>
      </w:r>
    </w:p>
    <w:p>
      <w:pPr>
        <w:pStyle w:val="11"/>
        <w:autoSpaceDE w:val="0"/>
        <w:spacing w:line="600" w:lineRule="exact"/>
        <w:ind w:firstLine="640"/>
        <w:rPr>
          <w:rFonts w:ascii="方正楷体_GBK" w:hAnsi="楷体" w:eastAsia="方正楷体_GBK" w:cs="楷体"/>
          <w:b/>
          <w:bCs/>
          <w:sz w:val="32"/>
          <w:szCs w:val="32"/>
          <w:shd w:val="clear" w:color="auto" w:fill="FFFFFF"/>
        </w:rPr>
      </w:pPr>
      <w:r>
        <w:rPr>
          <w:rFonts w:ascii="方正仿宋_GBK" w:hAnsi="方正仿宋_GBK" w:eastAsia="方正仿宋_GBK" w:cs="方正仿宋_GBK"/>
          <w:sz w:val="32"/>
          <w:szCs w:val="32"/>
          <w:shd w:val="clear" w:color="auto" w:fill="FFFFFF"/>
        </w:rPr>
        <w:t>2024年度一般公共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672.32</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659.49</w:t>
      </w:r>
      <w:r>
        <w:rPr>
          <w:rFonts w:ascii="方正仿宋_GBK" w:hAnsi="方正仿宋_GBK" w:eastAsia="方正仿宋_GBK" w:cs="方正仿宋_GBK"/>
          <w:sz w:val="32"/>
          <w:szCs w:val="32"/>
          <w:shd w:val="clear" w:color="auto" w:fill="FFFFFF"/>
        </w:rPr>
        <w:t>万元，与2023年度相比，减少79.83万元，下降10.80%，主要原因是2023年清算补发以前年度超额绩效和健康休养费。人员经费用途主要包括</w:t>
      </w:r>
      <w:r>
        <w:rPr>
          <w:rFonts w:ascii="方正仿宋_GBK" w:eastAsia="方正仿宋_GBK"/>
          <w:sz w:val="32"/>
          <w:szCs w:val="32"/>
        </w:rPr>
        <w:t>教师岗位工资、薪级工资、津补贴、绩效工资、社会保障和就业支出、医疗卫生支出和住房保障支出、健康休养费、退休人员生活补贴等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12.83</w:t>
      </w:r>
      <w:r>
        <w:rPr>
          <w:rFonts w:ascii="方正仿宋_GBK" w:hAnsi="方正仿宋_GBK" w:eastAsia="方正仿宋_GBK" w:cs="方正仿宋_GBK"/>
          <w:sz w:val="32"/>
          <w:szCs w:val="32"/>
          <w:shd w:val="clear" w:color="auto" w:fill="FFFFFF"/>
        </w:rPr>
        <w:t>万元，与2023年度相比，减少0.31万元，下降2.36%，主要原因是工会经费、培训费、福利费的预算基数减少所致。公用经费用途主要包括</w:t>
      </w:r>
      <w:r>
        <w:rPr>
          <w:rFonts w:ascii="方正仿宋_GBK" w:eastAsia="方正仿宋_GBK"/>
          <w:sz w:val="32"/>
          <w:szCs w:val="32"/>
        </w:rPr>
        <w:t>学校师资培训、教职工体检和工作餐等福利、工会补助等支出</w:t>
      </w:r>
      <w:r>
        <w:rPr>
          <w:rFonts w:ascii="方正仿宋_GBK" w:hAnsi="方正仿宋_GBK" w:eastAsia="方正仿宋_GBK" w:cs="方正仿宋_GBK"/>
          <w:sz w:val="32"/>
          <w:szCs w:val="32"/>
          <w:shd w:val="clear" w:color="auto" w:fill="FFFFFF"/>
        </w:rPr>
        <w:t>。</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199.58</w:t>
      </w:r>
      <w:r>
        <w:rPr>
          <w:rFonts w:ascii="方正仿宋_GBK" w:hAnsi="方正仿宋_GBK" w:eastAsia="方正仿宋_GBK" w:cs="方正仿宋_GBK"/>
          <w:sz w:val="32"/>
          <w:szCs w:val="32"/>
          <w:shd w:val="clear" w:color="auto" w:fill="FFFFFF"/>
        </w:rPr>
        <w:t>万元，与2023年度相比，增加199.58万元，增长100.00%；本年支出</w:t>
      </w:r>
      <w:r>
        <w:rPr>
          <w:rFonts w:ascii="方正仿宋_GBK" w:hAnsi="方正仿宋_GBK" w:eastAsia="方正仿宋_GBK" w:cs="方正仿宋_GBK"/>
          <w:sz w:val="32"/>
          <w:szCs w:val="32"/>
        </w:rPr>
        <w:t>199.58</w:t>
      </w:r>
      <w:r>
        <w:rPr>
          <w:rFonts w:ascii="方正仿宋_GBK" w:hAnsi="方正仿宋_GBK" w:eastAsia="方正仿宋_GBK" w:cs="方正仿宋_GBK"/>
          <w:sz w:val="32"/>
          <w:szCs w:val="32"/>
          <w:shd w:val="clear" w:color="auto" w:fill="FFFFFF"/>
        </w:rPr>
        <w:t>万元，与2023年度相比，增加199.58万元，增长100.00%，主要原因是财政使用政府性基金支付土地出让金。</w:t>
      </w:r>
    </w:p>
    <w:p>
      <w:pPr>
        <w:pStyle w:val="6"/>
        <w:snapToGrid w:val="0"/>
        <w:spacing w:before="0" w:beforeAutospacing="0" w:after="0" w:afterAutospacing="0" w:line="600" w:lineRule="exact"/>
        <w:ind w:firstLine="643" w:firstLineChars="200"/>
        <w:jc w:val="both"/>
        <w:rPr>
          <w:rFonts w:hint="default" w:ascii="方正楷体_GBK" w:hAnsi="方正仿宋_GBK" w:eastAsia="方正楷体_GBK" w:cs="方正仿宋_GBK"/>
          <w:sz w:val="32"/>
          <w:szCs w:val="32"/>
        </w:rPr>
      </w:pPr>
      <w:r>
        <w:rPr>
          <w:rFonts w:ascii="方正楷体_GBK" w:hAnsi="楷体" w:eastAsia="方正楷体_GBK"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w:t>
      </w: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年度无国有资本经营预算财政拨款支出。</w:t>
      </w: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三、财政拨款“三公”经费情况说明</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pPr>
        <w:spacing w:line="600" w:lineRule="exact"/>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hAnsi="方正仿宋_GBK" w:eastAsia="方正仿宋_GBK" w:cs="方正仿宋_GBK"/>
          <w:sz w:val="32"/>
          <w:szCs w:val="32"/>
          <w:shd w:val="clear" w:color="auto" w:fill="FFFFFF"/>
        </w:rPr>
        <w:t>未安排“三公”</w:t>
      </w:r>
      <w:r>
        <w:rPr>
          <w:rFonts w:ascii="方正仿宋_GBK" w:eastAsia="方正仿宋_GBK"/>
          <w:sz w:val="32"/>
          <w:szCs w:val="32"/>
        </w:rPr>
        <w:t>经费支出。</w:t>
      </w:r>
      <w:r>
        <w:rPr>
          <w:rFonts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主要原因是年初预算数未安排因公出国（境）费用，也未发生因公出国（境）费用。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主要原因是上年和本年均未发生因公出国（境）费用。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主要原因是年初预算数未安排公务车购置费用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四、其他需要说明的事项</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（一）财政拨款会议费和培训费情况说明</w:t>
      </w:r>
    </w:p>
    <w:p>
      <w:pPr>
        <w:spacing w:line="600" w:lineRule="exact"/>
        <w:ind w:firstLine="200"/>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4.53</w:t>
      </w:r>
      <w:r>
        <w:rPr>
          <w:rFonts w:ascii="方正仿宋_GBK" w:hAnsi="方正仿宋_GBK" w:eastAsia="方正仿宋_GBK" w:cs="方正仿宋_GBK"/>
          <w:sz w:val="32"/>
          <w:szCs w:val="32"/>
          <w:shd w:val="clear" w:color="auto" w:fill="FFFFFF"/>
        </w:rPr>
        <w:t>万元，与2023年度相比，增加0.64万元，增长16.45%，主要原因是学校加大了师资队伍的建设和培训</w:t>
      </w:r>
      <w:r>
        <w:rPr>
          <w:rFonts w:hint="eastAsia" w:ascii="方正仿宋_GBK" w:hAnsi="方正仿宋_GBK" w:eastAsia="方正仿宋_GBK" w:cs="方正仿宋_GBK"/>
          <w:sz w:val="32"/>
          <w:szCs w:val="32"/>
          <w:shd w:val="clear" w:color="auto" w:fill="FFFFFF"/>
          <w:lang w:eastAsia="zh-CN"/>
        </w:rPr>
        <w:t>。</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r>
        <w:rPr>
          <w:rFonts w:ascii="方正仿宋_GBK" w:hAnsi="方正仿宋_GBK" w:eastAsia="方正仿宋_GBK" w:cs="方正仿宋_GBK"/>
          <w:sz w:val="32"/>
          <w:szCs w:val="32"/>
        </w:rPr>
        <w:t>。</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.00</w:t>
      </w:r>
      <w:r>
        <w:rPr>
          <w:rFonts w:ascii="方正仿宋_GBK" w:hAnsi="方正仿宋_GBK" w:eastAsia="方正仿宋_GBK" w:cs="方正仿宋_GBK"/>
          <w:sz w:val="32"/>
          <w:szCs w:val="32"/>
          <w:shd w:val="clear" w:color="auto" w:fill="FFFFFF"/>
        </w:rPr>
        <w:t>%。2024年度我单位未发生政府采购事项，无相关经费支出。</w:t>
      </w: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五、2024年度预算绩效管理情况说明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rPr>
        <w:t>根据预算绩效管理要求，我单位对1</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个二级项目开展了绩效自评，涉及财政拨款项目支出资金62.74万元。</w:t>
      </w:r>
    </w:p>
    <w:p>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p>
    <w:p>
      <w:pPr>
        <w:rPr>
          <w:rFonts w:hint="default"/>
        </w:rPr>
      </w:pPr>
      <w:r>
        <w:drawing>
          <wp:inline distT="0" distB="0" distL="114300" distR="114300">
            <wp:extent cx="5412105" cy="5238750"/>
            <wp:effectExtent l="0" t="0" r="762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412105" cy="5238750"/>
                    </a:xfrm>
                    <a:prstGeom prst="rect">
                      <a:avLst/>
                    </a:prstGeom>
                    <a:noFill/>
                    <a:ln>
                      <a:noFill/>
                    </a:ln>
                  </pic:spPr>
                </pic:pic>
              </a:graphicData>
            </a:graphic>
          </wp:inline>
        </w:drawing>
      </w:r>
      <w:r>
        <w:drawing>
          <wp:inline distT="0" distB="0" distL="114300" distR="114300">
            <wp:extent cx="5363210" cy="5079365"/>
            <wp:effectExtent l="0" t="0" r="8890" b="698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363210" cy="5079365"/>
                    </a:xfrm>
                    <a:prstGeom prst="rect">
                      <a:avLst/>
                    </a:prstGeom>
                    <a:noFill/>
                    <a:ln>
                      <a:noFill/>
                    </a:ln>
                  </pic:spPr>
                </pic:pic>
              </a:graphicData>
            </a:graphic>
          </wp:inline>
        </w:drawing>
      </w:r>
    </w:p>
    <w:p>
      <w:pPr>
        <w:rPr>
          <w:rFonts w:hint="default" w:ascii="楷体" w:hAnsi="楷体" w:eastAsia="楷体" w:cs="宋体"/>
          <w:b/>
          <w:bCs/>
          <w:color w:val="000000"/>
          <w:sz w:val="32"/>
          <w:szCs w:val="32"/>
          <w:shd w:val="clear" w:color="auto" w:fill="FFFFFF"/>
        </w:rPr>
        <w:sectPr>
          <w:pgSz w:w="11915" w:h="16840"/>
          <w:pgMar w:top="1440" w:right="1800" w:bottom="1440" w:left="1800" w:header="851" w:footer="992" w:gutter="0"/>
          <w:pgNumType w:fmt="numberInDash"/>
          <w:cols w:space="720" w:num="1"/>
          <w:docGrid w:type="lines" w:linePitch="312" w:charSpace="0"/>
        </w:sectPr>
      </w:pP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（三）财政绩效评价情况</w:t>
      </w:r>
    </w:p>
    <w:p>
      <w:pPr>
        <w:pStyle w:val="6"/>
        <w:snapToGrid w:val="0"/>
        <w:spacing w:before="0" w:beforeAutospacing="0" w:after="0" w:afterAutospacing="0" w:line="600" w:lineRule="exact"/>
        <w:ind w:firstLine="640" w:firstLineChars="200"/>
        <w:jc w:val="both"/>
        <w:rPr>
          <w:rStyle w:val="10"/>
          <w:rFonts w:hint="default" w:ascii="方正黑体_GBK" w:hAnsi="黑体" w:eastAsia="方正黑体_GBK" w:cs="黑体"/>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w:t>
      </w:r>
      <w:bookmarkStart w:id="0" w:name="_GoBack"/>
      <w:bookmarkEnd w:id="0"/>
      <w:r>
        <w:rPr>
          <w:rFonts w:ascii="方正仿宋_GBK" w:hAnsi="方正仿宋_GBK" w:eastAsia="方正仿宋_GBK" w:cs="方正仿宋_GBK"/>
          <w:sz w:val="32"/>
          <w:szCs w:val="32"/>
          <w:shd w:val="clear" w:color="auto" w:fill="FFFFFF"/>
        </w:rPr>
        <w:t>“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七、决算公开联系方式及信息反馈渠道</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6"/>
        <w:snapToGrid w:val="0"/>
        <w:spacing w:before="0" w:beforeAutospacing="0" w:after="0" w:afterAutospacing="0" w:line="600" w:lineRule="exact"/>
        <w:ind w:firstLine="640" w:firstLineChars="200"/>
        <w:jc w:val="both"/>
        <w:rPr>
          <w:rStyle w:val="10"/>
          <w:rFonts w:hint="default" w:ascii="方正仿宋_GBK" w:hAnsi="方正仿宋_GBK" w:eastAsia="方正仿宋_GBK" w:cs="方正仿宋_GBK"/>
          <w:sz w:val="32"/>
          <w:szCs w:val="32"/>
          <w:shd w:val="clear" w:color="auto" w:fill="FFFF00"/>
        </w:rPr>
      </w:pPr>
      <w:r>
        <w:rPr>
          <w:rFonts w:ascii="方正仿宋_GBK" w:hAnsi="方正仿宋_GBK" w:eastAsia="方正仿宋_GBK" w:cs="方正仿宋_GBK"/>
          <w:sz w:val="32"/>
          <w:szCs w:val="32"/>
        </w:rPr>
        <w:t>邓老师   023- 74565288</w:t>
      </w:r>
    </w:p>
    <w:p>
      <w:pPr>
        <w:pStyle w:val="11"/>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01</w:t>
            </w:r>
            <w:r>
              <w:rPr>
                <w:rFonts w:cs="宋体"/>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2"/>
                <w:szCs w:val="22"/>
              </w:rPr>
            </w:pPr>
            <w:r>
              <w:rPr>
                <w:rFonts w:cs="宋体"/>
                <w:sz w:val="20"/>
                <w:szCs w:val="20"/>
              </w:rPr>
              <w:t>单位：</w:t>
            </w:r>
            <w:r>
              <w:rPr>
                <w:sz w:val="20"/>
              </w:rPr>
              <w:t>垫江县界尺小学校</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735.06</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199.58</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8.34</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494.10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12.74</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214.16</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24.12</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199.58</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27.88</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955.73</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959.85</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4.12</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959.85</w:t>
            </w:r>
            <w:r>
              <w:rPr>
                <w:rFonts w:ascii="Times New Roman" w:hAnsi="Times New Roman"/>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959.85</w:t>
            </w:r>
            <w:r>
              <w:rPr>
                <w:rFonts w:ascii="Times New Roman" w:hAnsi="Times New Roman"/>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211" w:type="dxa"/>
        <w:tblInd w:w="0" w:type="dxa"/>
        <w:tblLayout w:type="fixed"/>
        <w:tblCellMar>
          <w:top w:w="0" w:type="dxa"/>
          <w:left w:w="0" w:type="dxa"/>
          <w:bottom w:w="0" w:type="dxa"/>
          <w:right w:w="0" w:type="dxa"/>
        </w:tblCellMar>
      </w:tblPr>
      <w:tblGrid>
        <w:gridCol w:w="1436"/>
        <w:gridCol w:w="3358"/>
        <w:gridCol w:w="1107"/>
        <w:gridCol w:w="1408"/>
        <w:gridCol w:w="1228"/>
        <w:gridCol w:w="1228"/>
        <w:gridCol w:w="1361"/>
        <w:gridCol w:w="1299"/>
        <w:gridCol w:w="1432"/>
        <w:gridCol w:w="1354"/>
      </w:tblGrid>
      <w:tr>
        <w:tblPrEx>
          <w:tblLayout w:type="fixed"/>
          <w:tblCellMar>
            <w:top w:w="0" w:type="dxa"/>
            <w:left w:w="0" w:type="dxa"/>
            <w:bottom w:w="0" w:type="dxa"/>
            <w:right w:w="0" w:type="dxa"/>
          </w:tblCellMar>
        </w:tblPrEx>
        <w:trPr>
          <w:trHeight w:val="641" w:hRule="atLeast"/>
        </w:trPr>
        <w:tc>
          <w:tcPr>
            <w:tcW w:w="15211"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收入决算表</w:t>
            </w:r>
          </w:p>
        </w:tc>
      </w:tr>
      <w:tr>
        <w:tblPrEx>
          <w:tblLayout w:type="fixed"/>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垫江县界尺小学校</w:t>
            </w: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5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02</w:t>
            </w:r>
            <w:r>
              <w:rPr>
                <w:rFonts w:cs="宋体"/>
                <w:sz w:val="20"/>
                <w:szCs w:val="20"/>
              </w:rPr>
              <w:t>表</w:t>
            </w:r>
          </w:p>
        </w:tc>
      </w:tr>
      <w:tr>
        <w:tblPrEx>
          <w:tblLayout w:type="fixed"/>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5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295" w:hRule="exact"/>
        </w:trPr>
        <w:tc>
          <w:tcPr>
            <w:tcW w:w="4794"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附属单位上缴收入</w:t>
            </w:r>
          </w:p>
        </w:tc>
        <w:tc>
          <w:tcPr>
            <w:tcW w:w="13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其他收入</w:t>
            </w:r>
          </w:p>
        </w:tc>
      </w:tr>
      <w:tr>
        <w:tblPrEx>
          <w:tblLayout w:type="fixed"/>
          <w:tblCellMar>
            <w:top w:w="0" w:type="dxa"/>
            <w:left w:w="0" w:type="dxa"/>
            <w:bottom w:w="0" w:type="dxa"/>
            <w:right w:w="0" w:type="dxa"/>
          </w:tblCellMar>
        </w:tblPrEx>
        <w:trPr>
          <w:trHeight w:val="312" w:hRule="exact"/>
        </w:trPr>
        <w:tc>
          <w:tcPr>
            <w:tcW w:w="1436"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35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12" w:hRule="exac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35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12" w:hRule="exac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35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12" w:hRule="exac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35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295" w:hRule="exact"/>
        </w:trPr>
        <w:tc>
          <w:tcPr>
            <w:tcW w:w="47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1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955.73</w:t>
            </w:r>
            <w:r>
              <w:rPr>
                <w:rFonts w:ascii="Times New Roman" w:hAnsi="Times New Roman"/>
                <w:b/>
                <w:sz w:val="20"/>
              </w:rPr>
              <w:t xml:space="preserve"> </w:t>
            </w:r>
          </w:p>
        </w:tc>
        <w:tc>
          <w:tcPr>
            <w:tcW w:w="14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934.64</w:t>
            </w:r>
            <w:r>
              <w:rPr>
                <w:rFonts w:ascii="Times New Roman" w:hAnsi="Times New Roman"/>
                <w:b/>
                <w:sz w:val="20"/>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8.34</w:t>
            </w:r>
            <w:r>
              <w:rPr>
                <w:rFonts w:ascii="Times New Roman" w:hAnsi="Times New Roman"/>
                <w:b/>
                <w:sz w:val="20"/>
              </w:rPr>
              <w:t xml:space="preserve"> </w:t>
            </w:r>
          </w:p>
        </w:tc>
        <w:tc>
          <w:tcPr>
            <w:tcW w:w="1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8.34</w:t>
            </w:r>
            <w:r>
              <w:rPr>
                <w:rFonts w:ascii="Times New Roman" w:hAnsi="Times New Roman"/>
                <w:b/>
                <w:sz w:val="20"/>
              </w:rPr>
              <w:t xml:space="preserve"> </w:t>
            </w:r>
          </w:p>
        </w:tc>
        <w:tc>
          <w:tcPr>
            <w:tcW w:w="1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3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12.74</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95"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489.98</w:t>
            </w:r>
            <w:r>
              <w:rPr>
                <w:rFonts w:ascii="Times New Roman" w:hAnsi="Times New Roman"/>
                <w:b/>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468.90</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8.34</w:t>
            </w:r>
            <w:r>
              <w:rPr>
                <w:rFonts w:ascii="Times New Roman" w:hAnsi="Times New Roman"/>
                <w:b/>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8.34</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12.74</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95"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488.88</w:t>
            </w:r>
            <w:r>
              <w:rPr>
                <w:rFonts w:ascii="Times New Roman" w:hAnsi="Times New Roman"/>
                <w:b/>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467.79</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8.34</w:t>
            </w:r>
            <w:r>
              <w:rPr>
                <w:rFonts w:ascii="Times New Roman" w:hAnsi="Times New Roman"/>
                <w:b/>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8.34</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12.74</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95"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2050201</w:t>
            </w:r>
          </w:p>
        </w:tc>
        <w:tc>
          <w:tcPr>
            <w:tcW w:w="3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学前教育</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12.41</w:t>
            </w:r>
            <w:r>
              <w:rPr>
                <w:rFonts w:ascii="Times New Roman" w:hAnsi="Times New Roman"/>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3.99</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8.34</w:t>
            </w:r>
            <w:r>
              <w:rPr>
                <w:rFonts w:ascii="Times New Roman" w:hAnsi="Times New Roman"/>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8.34</w:t>
            </w:r>
            <w:r>
              <w:rPr>
                <w:rFonts w:ascii="Times New Roman" w:hAnsi="Times New Roman"/>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0.08</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95"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2050202</w:t>
            </w:r>
          </w:p>
        </w:tc>
        <w:tc>
          <w:tcPr>
            <w:tcW w:w="3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小学教育</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476.47</w:t>
            </w:r>
            <w:r>
              <w:rPr>
                <w:rFonts w:ascii="Times New Roman" w:hAnsi="Times New Roman"/>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463.81</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12.66</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95"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1.10</w:t>
            </w:r>
            <w:r>
              <w:rPr>
                <w:rFonts w:ascii="Times New Roman" w:hAnsi="Times New Roman"/>
                <w:b/>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1.10</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95"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1.10</w:t>
            </w:r>
            <w:r>
              <w:rPr>
                <w:rFonts w:ascii="Times New Roman" w:hAnsi="Times New Roman"/>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1.10</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95"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214.16</w:t>
            </w:r>
            <w:r>
              <w:rPr>
                <w:rFonts w:ascii="Times New Roman" w:hAnsi="Times New Roman"/>
                <w:b/>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214.16</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95"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205.73</w:t>
            </w:r>
            <w:r>
              <w:rPr>
                <w:rFonts w:ascii="Times New Roman" w:hAnsi="Times New Roman"/>
                <w:b/>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205.73</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95"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57.19</w:t>
            </w:r>
            <w:r>
              <w:rPr>
                <w:rFonts w:ascii="Times New Roman" w:hAnsi="Times New Roman"/>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57.19</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95"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28.61</w:t>
            </w:r>
            <w:r>
              <w:rPr>
                <w:rFonts w:ascii="Times New Roman" w:hAnsi="Times New Roman"/>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28.61</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95"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119.93</w:t>
            </w:r>
            <w:r>
              <w:rPr>
                <w:rFonts w:ascii="Times New Roman" w:hAnsi="Times New Roman"/>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119.93</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95"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20808</w:t>
            </w:r>
          </w:p>
        </w:tc>
        <w:tc>
          <w:tcPr>
            <w:tcW w:w="3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抚恤</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8.43</w:t>
            </w:r>
            <w:r>
              <w:rPr>
                <w:rFonts w:ascii="Times New Roman" w:hAnsi="Times New Roman"/>
                <w:b/>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8.43</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95"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2080801</w:t>
            </w:r>
          </w:p>
        </w:tc>
        <w:tc>
          <w:tcPr>
            <w:tcW w:w="3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死亡抚恤</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8.43</w:t>
            </w:r>
            <w:r>
              <w:rPr>
                <w:rFonts w:ascii="Times New Roman" w:hAnsi="Times New Roman"/>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8.43</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95"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24.12</w:t>
            </w:r>
            <w:r>
              <w:rPr>
                <w:rFonts w:ascii="Times New Roman" w:hAnsi="Times New Roman"/>
                <w:b/>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24.12</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95"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24.12</w:t>
            </w:r>
            <w:r>
              <w:rPr>
                <w:rFonts w:ascii="Times New Roman" w:hAnsi="Times New Roman"/>
                <w:b/>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24.12</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95"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24.12</w:t>
            </w:r>
            <w:r>
              <w:rPr>
                <w:rFonts w:ascii="Times New Roman" w:hAnsi="Times New Roman"/>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24.12</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95"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212</w:t>
            </w:r>
          </w:p>
        </w:tc>
        <w:tc>
          <w:tcPr>
            <w:tcW w:w="3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城乡社区支出</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199.58</w:t>
            </w:r>
            <w:r>
              <w:rPr>
                <w:rFonts w:ascii="Times New Roman" w:hAnsi="Times New Roman"/>
                <w:b/>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199.58</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95"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21208</w:t>
            </w:r>
          </w:p>
        </w:tc>
        <w:tc>
          <w:tcPr>
            <w:tcW w:w="3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国有土地使用权出让收入安排的支出</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199.58</w:t>
            </w:r>
            <w:r>
              <w:rPr>
                <w:rFonts w:ascii="Times New Roman" w:hAnsi="Times New Roman"/>
                <w:b/>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199.58</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95"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2120899</w:t>
            </w:r>
          </w:p>
        </w:tc>
        <w:tc>
          <w:tcPr>
            <w:tcW w:w="3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其他国有土地使用权出让收入安排的支出</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199.58</w:t>
            </w:r>
            <w:r>
              <w:rPr>
                <w:rFonts w:ascii="Times New Roman" w:hAnsi="Times New Roman"/>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199.58</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95"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27.88</w:t>
            </w:r>
            <w:r>
              <w:rPr>
                <w:rFonts w:ascii="Times New Roman" w:hAnsi="Times New Roman"/>
                <w:b/>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27.88</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95"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27.88</w:t>
            </w:r>
            <w:r>
              <w:rPr>
                <w:rFonts w:ascii="Times New Roman" w:hAnsi="Times New Roman"/>
                <w:b/>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27.88</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95"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27.88</w:t>
            </w:r>
            <w:r>
              <w:rPr>
                <w:rFonts w:ascii="Times New Roman" w:hAnsi="Times New Roman"/>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27.88</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7"/>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支出决算表</w:t>
            </w:r>
          </w:p>
        </w:tc>
      </w:tr>
      <w:tr>
        <w:tblPrEx>
          <w:tblLayout w:type="fixed"/>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 xml:space="preserve">垫江县界尺小学校 </w:t>
            </w: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03</w:t>
            </w:r>
            <w:r>
              <w:rPr>
                <w:rFonts w:cs="宋体"/>
                <w:sz w:val="20"/>
                <w:szCs w:val="20"/>
              </w:rPr>
              <w:t>表</w:t>
            </w:r>
          </w:p>
        </w:tc>
      </w:tr>
      <w:tr>
        <w:tblPrEx>
          <w:tblLayout w:type="fixed"/>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295" w:hRule="exac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对附属单位补助支出</w:t>
            </w:r>
          </w:p>
        </w:tc>
      </w:tr>
      <w:tr>
        <w:tblPrEx>
          <w:tblLayout w:type="fixed"/>
          <w:tblCellMar>
            <w:top w:w="0" w:type="dxa"/>
            <w:left w:w="0" w:type="dxa"/>
            <w:bottom w:w="0" w:type="dxa"/>
            <w:right w:w="0" w:type="dxa"/>
          </w:tblCellMar>
        </w:tblPrEx>
        <w:trPr>
          <w:trHeight w:val="312" w:hRule="exact"/>
        </w:trPr>
        <w:tc>
          <w:tcPr>
            <w:tcW w:w="1483"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55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12" w:hRule="exac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12" w:hRule="exac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12" w:hRule="exac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295" w:hRule="exac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6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959.85</w:t>
            </w:r>
            <w:r>
              <w:rPr>
                <w:rFonts w:ascii="Times New Roman" w:hAnsi="Times New Roman"/>
                <w:b/>
                <w:sz w:val="20"/>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697.52</w:t>
            </w:r>
            <w:r>
              <w:rPr>
                <w:rFonts w:ascii="Times New Roman" w:hAnsi="Times New Roman"/>
                <w:b/>
                <w:sz w:val="20"/>
              </w:rPr>
              <w:t xml:space="preserve"> </w:t>
            </w:r>
          </w:p>
        </w:tc>
        <w:tc>
          <w:tcPr>
            <w:tcW w:w="1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262.32</w:t>
            </w:r>
            <w:r>
              <w:rPr>
                <w:rFonts w:ascii="Times New Roman" w:hAnsi="Times New Roman"/>
                <w:b/>
                <w:sz w:val="20"/>
              </w:rPr>
              <w:t xml:space="preserve"> </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95"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494.10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431.67</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62.43</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95"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493.00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430.57</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62.43</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95"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学前教育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14.80</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10.82</w:t>
            </w:r>
            <w:r>
              <w:rPr>
                <w:rFonts w:ascii="Times New Roman" w:hAnsi="Times New Roman"/>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3.99</w:t>
            </w:r>
            <w:r>
              <w:rPr>
                <w:rFonts w:ascii="Times New Roman" w:hAnsi="Times New Roman"/>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95"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小学教育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478.19</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419.75</w:t>
            </w:r>
            <w:r>
              <w:rPr>
                <w:rFonts w:ascii="Times New Roman" w:hAnsi="Times New Roman"/>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58.44</w:t>
            </w:r>
            <w:r>
              <w:rPr>
                <w:rFonts w:ascii="Times New Roman" w:hAnsi="Times New Roman"/>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95"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1.10</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95"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1.10</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1.10</w:t>
            </w:r>
            <w:r>
              <w:rPr>
                <w:rFonts w:ascii="Times New Roman" w:hAnsi="Times New Roman"/>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95"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214.16</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213.85</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0.32</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95"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205.73</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205.42</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0.32</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95"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57.19</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57.19</w:t>
            </w:r>
            <w:r>
              <w:rPr>
                <w:rFonts w:ascii="Times New Roman" w:hAnsi="Times New Roman"/>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95"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28.61</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28.61</w:t>
            </w:r>
            <w:r>
              <w:rPr>
                <w:rFonts w:ascii="Times New Roman" w:hAnsi="Times New Roman"/>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95"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119.93</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119.61</w:t>
            </w:r>
            <w:r>
              <w:rPr>
                <w:rFonts w:ascii="Times New Roman" w:hAnsi="Times New Roman"/>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0.32</w:t>
            </w:r>
            <w:r>
              <w:rPr>
                <w:rFonts w:ascii="Times New Roman" w:hAnsi="Times New Roman"/>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95"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抚恤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8.43</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8.43</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95"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2080801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死亡抚恤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8.43</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8.43</w:t>
            </w:r>
            <w:r>
              <w:rPr>
                <w:rFonts w:ascii="Times New Roman" w:hAnsi="Times New Roman"/>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95"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24.12</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24.12</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95"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24.12</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24.12</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95"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24.12</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24.12</w:t>
            </w:r>
            <w:r>
              <w:rPr>
                <w:rFonts w:ascii="Times New Roman" w:hAnsi="Times New Roman"/>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95"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城乡社区支出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199.58</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199.58</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95"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国有土地使用权出让收入安排的支出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199.58</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199.58</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95"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2120899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其他国有土地使用权出让收入安排的支出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199.58</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199.58</w:t>
            </w:r>
            <w:r>
              <w:rPr>
                <w:rFonts w:ascii="Times New Roman" w:hAnsi="Times New Roman"/>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95"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27.88</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27.88</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95"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27.88</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27.88</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295"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27.88</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27.88</w:t>
            </w:r>
            <w:r>
              <w:rPr>
                <w:rFonts w:ascii="Times New Roman" w:hAnsi="Times New Roman"/>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r>
              <w:rPr>
                <w:rFonts w:cs="宋体"/>
                <w:sz w:val="20"/>
                <w:szCs w:val="20"/>
              </w:rPr>
              <w:t>单位：</w:t>
            </w:r>
            <w:r>
              <w:rPr>
                <w:sz w:val="20"/>
              </w:rPr>
              <w:t>垫江县界尺小学校</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04</w:t>
            </w:r>
            <w:r>
              <w:rPr>
                <w:rFonts w:cs="宋体"/>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735.06</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199.58</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468.90</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468.90</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214.16</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214.16</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24.12</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24.12</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199.58</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199.58</w:t>
            </w: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27.88</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27.88</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934.64</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934.64</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735.06</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199.58</w:t>
            </w: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934.64</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934.64</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735.06</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199.58</w:t>
            </w: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垫江县界尺小学校</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05</w:t>
            </w:r>
            <w:r>
              <w:rPr>
                <w:rFonts w:cs="宋体"/>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735.06</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672.32</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62.74</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468.90</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406.47</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62.43</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467.79</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405.37</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62.43</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学前教育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3.99</w:t>
            </w:r>
            <w:r>
              <w:rPr>
                <w:rFonts w:ascii="Times New Roman" w:hAnsi="Times New Roman"/>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3.99</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小学教育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463.81</w:t>
            </w:r>
            <w:r>
              <w:rPr>
                <w:rFonts w:ascii="Times New Roman" w:hAnsi="Times New Roman"/>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405.37</w:t>
            </w:r>
            <w:r>
              <w:rPr>
                <w:rFonts w:ascii="Times New Roman" w:hAnsi="Times New Roman"/>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58.44</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1.10</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1.10</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1.10</w:t>
            </w:r>
            <w:r>
              <w:rPr>
                <w:rFonts w:ascii="Times New Roman" w:hAnsi="Times New Roman"/>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1.10</w:t>
            </w:r>
            <w:r>
              <w:rPr>
                <w:rFonts w:ascii="Times New Roman" w:hAnsi="Times New Roman"/>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214.16</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213.85</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0.32</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205.73</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205.42</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0.32</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57.19</w:t>
            </w:r>
            <w:r>
              <w:rPr>
                <w:rFonts w:ascii="Times New Roman" w:hAnsi="Times New Roman"/>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57.19</w:t>
            </w:r>
            <w:r>
              <w:rPr>
                <w:rFonts w:ascii="Times New Roman" w:hAnsi="Times New Roman"/>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28.61</w:t>
            </w:r>
            <w:r>
              <w:rPr>
                <w:rFonts w:ascii="Times New Roman" w:hAnsi="Times New Roman"/>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28.61</w:t>
            </w:r>
            <w:r>
              <w:rPr>
                <w:rFonts w:ascii="Times New Roman" w:hAnsi="Times New Roman"/>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119.93</w:t>
            </w:r>
            <w:r>
              <w:rPr>
                <w:rFonts w:ascii="Times New Roman" w:hAnsi="Times New Roman"/>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119.61</w:t>
            </w:r>
            <w:r>
              <w:rPr>
                <w:rFonts w:ascii="Times New Roman" w:hAnsi="Times New Roman"/>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0.32</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8.43</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8.43</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2080801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死亡抚恤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8.43</w:t>
            </w:r>
            <w:r>
              <w:rPr>
                <w:rFonts w:ascii="Times New Roman" w:hAnsi="Times New Roman"/>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8.43</w:t>
            </w:r>
            <w:r>
              <w:rPr>
                <w:rFonts w:ascii="Times New Roman" w:hAnsi="Times New Roman"/>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24.12</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24.12</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24.12</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24.12</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24.12</w:t>
            </w:r>
            <w:r>
              <w:rPr>
                <w:rFonts w:ascii="Times New Roman" w:hAnsi="Times New Roman"/>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24.12</w:t>
            </w:r>
            <w:r>
              <w:rPr>
                <w:rFonts w:ascii="Times New Roman" w:hAnsi="Times New Roman"/>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27.88</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27.88</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27.88</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27.88</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27.88</w:t>
            </w:r>
            <w:r>
              <w:rPr>
                <w:rFonts w:ascii="Times New Roman" w:hAnsi="Times New Roman"/>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27.88</w:t>
            </w:r>
            <w:r>
              <w:rPr>
                <w:rFonts w:ascii="Times New Roman" w:hAnsi="Times New Roman"/>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cs="宋体"/>
          <w:sz w:val="20"/>
          <w:szCs w:val="20"/>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p>
    <w:tbl>
      <w:tblPr>
        <w:tblStyle w:val="7"/>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sz w:val="32"/>
                <w:szCs w:val="32"/>
              </w:rPr>
            </w:pPr>
            <w:r>
              <w:rPr>
                <w:rFonts w:cs="宋体"/>
                <w:b/>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r>
              <w:rPr>
                <w:rFonts w:cs="宋体"/>
                <w:sz w:val="20"/>
                <w:szCs w:val="20"/>
              </w:rPr>
              <w:t>单位：</w:t>
            </w:r>
            <w:r>
              <w:rPr>
                <w:sz w:val="20"/>
              </w:rPr>
              <w:t>垫江县界尺小学校</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06</w:t>
            </w:r>
            <w:r>
              <w:rPr>
                <w:rFonts w:cs="宋体"/>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531.45</w:t>
            </w: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12.83</w:t>
            </w: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125.39</w:t>
            </w: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18.23</w:t>
            </w: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244.62</w:t>
            </w: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57.19</w:t>
            </w: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28.61</w:t>
            </w: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24.12</w:t>
            </w: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1.25</w:t>
            </w: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27.88</w:t>
            </w: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4.16</w:t>
            </w: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128.05</w:t>
            </w: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1.10</w:t>
            </w: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8.43</w:t>
            </w: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112.81</w:t>
            </w: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6.80</w:t>
            </w: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4.39</w:t>
            </w: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sz w:val="18"/>
                <w:szCs w:val="18"/>
              </w:rPr>
            </w:pPr>
            <w:r>
              <w:rPr>
                <w:rFonts w:cs="宋体"/>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7.33</w:t>
            </w: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sz w:val="18"/>
                <w:szCs w:val="18"/>
              </w:rPr>
            </w:pPr>
            <w:r>
              <w:rPr>
                <w:rFonts w:hint="default" w:ascii="Times New Roman" w:hAnsi="Times New Roman"/>
                <w:sz w:val="18"/>
                <w:szCs w:val="18"/>
              </w:rPr>
              <w:t>659.49</w:t>
            </w:r>
            <w:r>
              <w:rPr>
                <w:rFonts w:ascii="Times New Roman" w:hAnsi="Times New Roman"/>
                <w:sz w:val="18"/>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12.83</w:t>
            </w:r>
            <w:r>
              <w:rPr>
                <w:rFonts w:ascii="Times New Roman" w:hAnsi="Times New Roman"/>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586"/>
        <w:gridCol w:w="3630"/>
        <w:gridCol w:w="1651"/>
        <w:gridCol w:w="1651"/>
        <w:gridCol w:w="1652"/>
        <w:gridCol w:w="1652"/>
        <w:gridCol w:w="1716"/>
        <w:gridCol w:w="1784"/>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86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垫江县界尺小学校</w:t>
            </w:r>
          </w:p>
        </w:tc>
        <w:tc>
          <w:tcPr>
            <w:tcW w:w="16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5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5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8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07</w:t>
            </w:r>
            <w:r>
              <w:rPr>
                <w:rFonts w:cs="宋体"/>
                <w:sz w:val="20"/>
                <w:szCs w:val="20"/>
              </w:rPr>
              <w:t>表</w:t>
            </w:r>
          </w:p>
        </w:tc>
      </w:tr>
      <w:tr>
        <w:tblPrEx>
          <w:tblLayout w:type="fixed"/>
          <w:tblCellMar>
            <w:top w:w="0" w:type="dxa"/>
            <w:left w:w="0" w:type="dxa"/>
            <w:bottom w:w="0" w:type="dxa"/>
            <w:right w:w="0" w:type="dxa"/>
          </w:tblCellMar>
        </w:tblPrEx>
        <w:trPr>
          <w:trHeight w:val="329" w:hRule="atLeast"/>
        </w:trPr>
        <w:tc>
          <w:tcPr>
            <w:tcW w:w="686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5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5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8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39" w:hRule="atLeast"/>
        </w:trPr>
        <w:tc>
          <w:tcPr>
            <w:tcW w:w="52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165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年初结转和结余</w:t>
            </w:r>
          </w:p>
        </w:tc>
        <w:tc>
          <w:tcPr>
            <w:tcW w:w="16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w:t>
            </w:r>
          </w:p>
        </w:tc>
        <w:tc>
          <w:tcPr>
            <w:tcW w:w="502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c>
          <w:tcPr>
            <w:tcW w:w="17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年末结转和结余</w:t>
            </w:r>
          </w:p>
        </w:tc>
      </w:tr>
      <w:tr>
        <w:tblPrEx>
          <w:tblLayout w:type="fixed"/>
          <w:tblCellMar>
            <w:top w:w="0" w:type="dxa"/>
            <w:left w:w="0" w:type="dxa"/>
            <w:bottom w:w="0" w:type="dxa"/>
            <w:right w:w="0" w:type="dxa"/>
          </w:tblCellMar>
        </w:tblPrEx>
        <w:trPr>
          <w:trHeight w:val="335" w:hRule="atLeast"/>
        </w:trPr>
        <w:tc>
          <w:tcPr>
            <w:tcW w:w="15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65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5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65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5" w:hRule="atLeast"/>
        </w:trPr>
        <w:tc>
          <w:tcPr>
            <w:tcW w:w="15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5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5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5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45" w:hRule="atLeast"/>
        </w:trPr>
        <w:tc>
          <w:tcPr>
            <w:tcW w:w="15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5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5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5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521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6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6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199.58</w:t>
            </w:r>
            <w:r>
              <w:rPr>
                <w:rFonts w:ascii="Times New Roman" w:hAnsi="Times New Roman"/>
                <w:b/>
                <w:sz w:val="20"/>
              </w:rPr>
              <w:t xml:space="preserve"> </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199.58</w:t>
            </w:r>
            <w:r>
              <w:rPr>
                <w:rFonts w:ascii="Times New Roman" w:hAnsi="Times New Roman"/>
                <w:b/>
                <w:sz w:val="20"/>
              </w:rPr>
              <w:t xml:space="preserve"> </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199.58</w:t>
            </w:r>
            <w:r>
              <w:rPr>
                <w:rFonts w:ascii="Times New Roman" w:hAnsi="Times New Roman"/>
                <w:b/>
                <w:sz w:val="20"/>
              </w:rPr>
              <w:t xml:space="preserve"> </w:t>
            </w:r>
          </w:p>
        </w:tc>
        <w:tc>
          <w:tcPr>
            <w:tcW w:w="1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9" w:hRule="atLeast"/>
        </w:trPr>
        <w:tc>
          <w:tcPr>
            <w:tcW w:w="15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212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城乡社区支出</w:t>
            </w:r>
          </w:p>
        </w:tc>
        <w:tc>
          <w:tcPr>
            <w:tcW w:w="16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199.58</w:t>
            </w:r>
            <w:r>
              <w:rPr>
                <w:rFonts w:ascii="Times New Roman" w:hAnsi="Times New Roman"/>
                <w:b/>
                <w:sz w:val="20"/>
              </w:rPr>
              <w:t xml:space="preserve"> </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199.58</w:t>
            </w:r>
            <w:r>
              <w:rPr>
                <w:rFonts w:ascii="Times New Roman" w:hAnsi="Times New Roman"/>
                <w:b/>
                <w:sz w:val="20"/>
              </w:rPr>
              <w:t xml:space="preserve"> </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199.58</w:t>
            </w:r>
            <w:r>
              <w:rPr>
                <w:rFonts w:ascii="Times New Roman" w:hAnsi="Times New Roman"/>
                <w:b/>
                <w:sz w:val="20"/>
              </w:rPr>
              <w:t xml:space="preserve"> </w:t>
            </w:r>
          </w:p>
        </w:tc>
        <w:tc>
          <w:tcPr>
            <w:tcW w:w="1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9" w:hRule="atLeast"/>
        </w:trPr>
        <w:tc>
          <w:tcPr>
            <w:tcW w:w="15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21208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国有土地使用权出让收入安排的支出</w:t>
            </w:r>
          </w:p>
        </w:tc>
        <w:tc>
          <w:tcPr>
            <w:tcW w:w="16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199.58</w:t>
            </w:r>
            <w:r>
              <w:rPr>
                <w:rFonts w:ascii="Times New Roman" w:hAnsi="Times New Roman"/>
                <w:b/>
                <w:sz w:val="20"/>
              </w:rPr>
              <w:t xml:space="preserve"> </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199.58</w:t>
            </w:r>
            <w:r>
              <w:rPr>
                <w:rFonts w:ascii="Times New Roman" w:hAnsi="Times New Roman"/>
                <w:b/>
                <w:sz w:val="20"/>
              </w:rPr>
              <w:t xml:space="preserve"> </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199.58</w:t>
            </w:r>
            <w:r>
              <w:rPr>
                <w:rFonts w:ascii="Times New Roman" w:hAnsi="Times New Roman"/>
                <w:b/>
                <w:sz w:val="20"/>
              </w:rPr>
              <w:t xml:space="preserve"> </w:t>
            </w:r>
          </w:p>
        </w:tc>
        <w:tc>
          <w:tcPr>
            <w:tcW w:w="1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9" w:hRule="atLeast"/>
        </w:trPr>
        <w:tc>
          <w:tcPr>
            <w:tcW w:w="15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sz w:val="20"/>
                <w:szCs w:val="20"/>
              </w:rPr>
              <w:t>2120899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sz w:val="20"/>
                <w:szCs w:val="20"/>
              </w:rPr>
              <w:t>其他国有土地使用权出让收入安排的支出</w:t>
            </w:r>
          </w:p>
        </w:tc>
        <w:tc>
          <w:tcPr>
            <w:tcW w:w="16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6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199.58</w:t>
            </w:r>
            <w:r>
              <w:rPr>
                <w:rFonts w:ascii="Times New Roman" w:hAnsi="Times New Roman"/>
                <w:sz w:val="20"/>
              </w:rPr>
              <w:t xml:space="preserve"> </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199.58</w:t>
            </w:r>
            <w:r>
              <w:rPr>
                <w:rFonts w:ascii="Times New Roman" w:hAnsi="Times New Roman"/>
                <w:sz w:val="20"/>
              </w:rPr>
              <w:t xml:space="preserve"> </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199.58</w:t>
            </w:r>
            <w:r>
              <w:rPr>
                <w:rFonts w:ascii="Times New Roman" w:hAnsi="Times New Roman"/>
                <w:sz w:val="20"/>
              </w:rPr>
              <w:t xml:space="preserve"> </w:t>
            </w:r>
          </w:p>
        </w:tc>
        <w:tc>
          <w:tcPr>
            <w:tcW w:w="1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垫江县界尺小学校</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08</w:t>
            </w:r>
            <w:r>
              <w:rPr>
                <w:rFonts w:cs="宋体"/>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kern w:val="2"/>
                <w:sz w:val="32"/>
                <w:szCs w:val="32"/>
              </w:rPr>
            </w:pPr>
            <w:r>
              <w:rPr>
                <w:rFonts w:cs="宋体"/>
                <w:b/>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kern w:val="2"/>
                <w:sz w:val="20"/>
                <w:szCs w:val="20"/>
              </w:rPr>
            </w:pPr>
          </w:p>
        </w:tc>
        <w:tc>
          <w:tcPr>
            <w:tcW w:w="2374" w:type="dxa"/>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71"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93" w:type="dxa"/>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公开</w:t>
            </w:r>
            <w:r>
              <w:rPr>
                <w:rFonts w:hint="default" w:ascii="Times New Roman" w:hAnsi="Times New Roman"/>
                <w:kern w:val="2"/>
                <w:sz w:val="20"/>
                <w:szCs w:val="20"/>
              </w:rPr>
              <w:t>09</w:t>
            </w:r>
            <w:r>
              <w:rPr>
                <w:rFonts w:cs="宋体"/>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r>
              <w:rPr>
                <w:rFonts w:cs="宋体"/>
                <w:kern w:val="2"/>
                <w:sz w:val="20"/>
                <w:szCs w:val="20"/>
              </w:rPr>
              <w:t>单位：</w:t>
            </w:r>
            <w:r>
              <w:rPr>
                <w:sz w:val="20"/>
              </w:rPr>
              <w:t>垫江县界尺小学校</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单位：万元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4.53</w:t>
            </w: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sz w:val="16"/>
                <w:szCs w:val="16"/>
              </w:rPr>
            </w:pPr>
            <w:r>
              <w:rPr>
                <w:rFonts w:cs="宋体"/>
                <w:b/>
                <w:bCs/>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sz w:val="18"/>
                <w:szCs w:val="18"/>
              </w:rPr>
            </w:pPr>
            <w:r>
              <w:rPr>
                <w:rFonts w:hint="default" w:ascii="Times New Roman" w:hAnsi="Times New Roman"/>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3.20</w:t>
            </w: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sz w:val="16"/>
                <w:szCs w:val="16"/>
              </w:rPr>
            </w:pPr>
          </w:p>
        </w:tc>
      </w:tr>
    </w:tbl>
    <w:p>
      <w:pPr>
        <w:rPr>
          <w:rFonts w:hint="default" w:cs="宋体"/>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方正黑体_GBK">
    <w:panose1 w:val="02010600010101010101"/>
    <w:charset w:val="86"/>
    <w:family w:val="script"/>
    <w:pitch w:val="default"/>
    <w:sig w:usb0="00000000" w:usb1="00000000" w:usb2="00000000" w:usb3="00000000" w:csb0="00000000" w:csb1="00000000"/>
  </w:font>
  <w:font w:name="仿宋_GB2312">
    <w:altName w:val="仿宋"/>
    <w:panose1 w:val="00000000000000000000"/>
    <w:charset w:val="86"/>
    <w:family w:val="roman"/>
    <w:pitch w:val="default"/>
    <w:sig w:usb0="00000000" w:usb1="00000000" w:usb2="00000000" w:usb3="00000000" w:csb0="00040000" w:csb1="00000000"/>
  </w:font>
  <w:font w:name="方正楷体_GBK">
    <w:panose1 w:val="02000000000000000000"/>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14 -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14 -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1574DB"/>
    <w:rsid w:val="00170D56"/>
    <w:rsid w:val="00261065"/>
    <w:rsid w:val="002D0E5A"/>
    <w:rsid w:val="002E5443"/>
    <w:rsid w:val="0032196C"/>
    <w:rsid w:val="003D105F"/>
    <w:rsid w:val="004C12FF"/>
    <w:rsid w:val="00550ABE"/>
    <w:rsid w:val="005B023C"/>
    <w:rsid w:val="00600322"/>
    <w:rsid w:val="006137D7"/>
    <w:rsid w:val="00634FA8"/>
    <w:rsid w:val="0063613A"/>
    <w:rsid w:val="00692BCE"/>
    <w:rsid w:val="006E2034"/>
    <w:rsid w:val="00731F5A"/>
    <w:rsid w:val="00732392"/>
    <w:rsid w:val="00792285"/>
    <w:rsid w:val="007A0D2E"/>
    <w:rsid w:val="007A3314"/>
    <w:rsid w:val="007B419D"/>
    <w:rsid w:val="00810F13"/>
    <w:rsid w:val="00944711"/>
    <w:rsid w:val="009821E3"/>
    <w:rsid w:val="00984852"/>
    <w:rsid w:val="009B67B8"/>
    <w:rsid w:val="00A03B1E"/>
    <w:rsid w:val="00A67739"/>
    <w:rsid w:val="00A820B7"/>
    <w:rsid w:val="00AC5566"/>
    <w:rsid w:val="00B03CCD"/>
    <w:rsid w:val="00B40138"/>
    <w:rsid w:val="00B62BE5"/>
    <w:rsid w:val="00BF5A85"/>
    <w:rsid w:val="00C307F6"/>
    <w:rsid w:val="00C83F06"/>
    <w:rsid w:val="00C96B11"/>
    <w:rsid w:val="00CC6B99"/>
    <w:rsid w:val="00DF7706"/>
    <w:rsid w:val="00E05175"/>
    <w:rsid w:val="00E654E2"/>
    <w:rsid w:val="00E76362"/>
    <w:rsid w:val="00F137D3"/>
    <w:rsid w:val="00F13C36"/>
    <w:rsid w:val="00F23C68"/>
    <w:rsid w:val="00F32C53"/>
    <w:rsid w:val="00F73F90"/>
    <w:rsid w:val="00F7623D"/>
    <w:rsid w:val="00F8598B"/>
    <w:rsid w:val="00FA0819"/>
    <w:rsid w:val="00FC3553"/>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4B2505"/>
    <w:rsid w:val="0969353F"/>
    <w:rsid w:val="098305D0"/>
    <w:rsid w:val="098A0877"/>
    <w:rsid w:val="0A5C4B69"/>
    <w:rsid w:val="0A86124A"/>
    <w:rsid w:val="0AB54CC0"/>
    <w:rsid w:val="0ACB31DC"/>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DAC4ACA"/>
    <w:rsid w:val="4DBE01D2"/>
    <w:rsid w:val="4EFC6D10"/>
    <w:rsid w:val="4F0C6BA3"/>
    <w:rsid w:val="4F10477D"/>
    <w:rsid w:val="4F186D58"/>
    <w:rsid w:val="4FEA65B7"/>
    <w:rsid w:val="4FF4660A"/>
    <w:rsid w:val="50F06B6E"/>
    <w:rsid w:val="511C4FE5"/>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1233D6"/>
    <w:rsid w:val="578867FC"/>
    <w:rsid w:val="5842572D"/>
    <w:rsid w:val="5A3B59D6"/>
    <w:rsid w:val="5AC84B5B"/>
    <w:rsid w:val="5AD134D8"/>
    <w:rsid w:val="5B6503B1"/>
    <w:rsid w:val="5C263CE4"/>
    <w:rsid w:val="5C5D2777"/>
    <w:rsid w:val="5CF66BF3"/>
    <w:rsid w:val="5D290C69"/>
    <w:rsid w:val="5F2D4A41"/>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49023C"/>
    <w:rsid w:val="66967186"/>
    <w:rsid w:val="66EE5541"/>
    <w:rsid w:val="67924660"/>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8D667B"/>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22</Pages>
  <Words>8587</Words>
  <Characters>11464</Characters>
  <Lines>103</Lines>
  <Paragraphs>29</Paragraphs>
  <TotalTime>0</TotalTime>
  <ScaleCrop>false</ScaleCrop>
  <LinksUpToDate>false</LinksUpToDate>
  <CharactersWithSpaces>12597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2025-08-14T01:04:00Z</dcterms:created>
  <dc:creator>Administrator</dc:creator>
  <cp:lastModifiedBy>Administrator</cp:lastModifiedBy>
  <dcterms:modified xsi:type="dcterms:W3CDTF">2025-09-22T08:41:04Z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9D783D4140A24677BA3877F0994494E6_13</vt:lpwstr>
  </property>
  <property fmtid="{D5CDD505-2E9C-101B-9397-08002B2CF9AE}" pid="4" name="KSOTemplateDocerSaveRecord">
    <vt:lpwstr>eyJoZGlkIjoiNjM0Zjk5YTc4NjQ1NmYyOGViZjRkNWIzZWJhYTE3YWEiLCJ1c2VySWQiOiIzODk0NTM2OTAifQ==</vt:lpwstr>
  </property>
</Properties>
</file>