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垫江县教育考试院</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shd w:val="clear" w:color="auto" w:fill="FFFFFF"/>
        <w:spacing w:before="0" w:beforeAutospacing="0" w:after="0" w:afterAutospacing="0"/>
        <w:ind w:firstLine="643"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pPr>
        <w:pStyle w:val="6"/>
        <w:shd w:val="clear" w:color="auto" w:fill="FFFFFF"/>
        <w:spacing w:before="0" w:beforeAutospacing="0" w:after="0" w:afterAutospacing="0"/>
        <w:ind w:firstLine="420"/>
        <w:rPr>
          <w:rFonts w:hint="default" w:ascii="方正仿宋_GBK" w:hAnsi="仿宋_GB2312" w:eastAsia="方正仿宋_GBK" w:cs="仿宋_GB2312"/>
          <w:sz w:val="32"/>
          <w:szCs w:val="32"/>
        </w:rPr>
      </w:pPr>
      <w:r>
        <w:rPr>
          <w:rFonts w:ascii="方正仿宋_GBK" w:eastAsia="方正仿宋_GBK"/>
          <w:sz w:val="32"/>
          <w:szCs w:val="32"/>
        </w:rPr>
        <w:t>垫江县教育考试院位于垫江县桂溪镇文化路79号，</w:t>
      </w:r>
      <w:r>
        <w:rPr>
          <w:rFonts w:ascii="方正仿宋_GBK" w:hAnsi="仿宋_GB2312" w:eastAsia="方正仿宋_GBK" w:cs="仿宋_GB2312"/>
          <w:sz w:val="32"/>
          <w:szCs w:val="32"/>
        </w:rPr>
        <w:t>本单位属于全额拨款事业单位，编制8人，领导职数2名(副院长1名，党支部书记1名)。目前在岗</w:t>
      </w:r>
      <w:r>
        <w:rPr>
          <w:rFonts w:hint="default" w:ascii="方正仿宋_GBK" w:hAnsi="仿宋_GB2312" w:eastAsia="方正仿宋_GBK" w:cs="仿宋_GB2312"/>
          <w:sz w:val="32"/>
          <w:szCs w:val="32"/>
        </w:rPr>
        <w:t>7</w:t>
      </w:r>
      <w:r>
        <w:rPr>
          <w:rFonts w:ascii="方正仿宋_GBK" w:hAnsi="仿宋_GB2312" w:eastAsia="方正仿宋_GBK" w:cs="仿宋_GB2312"/>
          <w:sz w:val="32"/>
          <w:szCs w:val="32"/>
        </w:rPr>
        <w:t>人，其中在编</w:t>
      </w:r>
      <w:r>
        <w:rPr>
          <w:rFonts w:hint="default" w:ascii="方正仿宋_GBK" w:hAnsi="仿宋_GB2312" w:eastAsia="方正仿宋_GBK" w:cs="仿宋_GB2312"/>
          <w:sz w:val="32"/>
          <w:szCs w:val="32"/>
        </w:rPr>
        <w:t>7</w:t>
      </w:r>
      <w:r>
        <w:rPr>
          <w:rFonts w:ascii="方正仿宋_GBK" w:hAnsi="仿宋_GB2312" w:eastAsia="方正仿宋_GBK" w:cs="仿宋_GB2312"/>
          <w:sz w:val="32"/>
          <w:szCs w:val="32"/>
        </w:rPr>
        <w:t>人，混岗</w:t>
      </w:r>
      <w:r>
        <w:rPr>
          <w:rFonts w:hint="default" w:ascii="方正仿宋_GBK" w:hAnsi="仿宋_GB2312" w:eastAsia="方正仿宋_GBK" w:cs="仿宋_GB2312"/>
          <w:sz w:val="32"/>
          <w:szCs w:val="32"/>
        </w:rPr>
        <w:t>1</w:t>
      </w:r>
      <w:r>
        <w:rPr>
          <w:rFonts w:ascii="方正仿宋_GBK" w:hAnsi="仿宋_GB2312" w:eastAsia="方正仿宋_GBK" w:cs="仿宋_GB2312"/>
          <w:sz w:val="32"/>
          <w:szCs w:val="32"/>
        </w:rPr>
        <w:t>人。</w:t>
      </w:r>
    </w:p>
    <w:p>
      <w:pPr>
        <w:pStyle w:val="6"/>
        <w:shd w:val="clear" w:color="auto" w:fill="FFFFFF"/>
        <w:spacing w:before="0" w:beforeAutospacing="0" w:after="0" w:afterAutospacing="0"/>
        <w:ind w:firstLine="420"/>
        <w:rPr>
          <w:rStyle w:val="10"/>
          <w:rFonts w:hint="default" w:ascii="楷体" w:hAnsi="楷体" w:eastAsia="楷体" w:cs="楷体"/>
          <w:sz w:val="32"/>
          <w:szCs w:val="32"/>
          <w:shd w:val="clear" w:color="auto" w:fill="FFFFFF"/>
        </w:rPr>
      </w:pPr>
      <w:r>
        <w:rPr>
          <w:rStyle w:val="10"/>
          <w:rFonts w:ascii="楷体" w:hAnsi="楷体" w:eastAsia="楷体" w:cs="楷体"/>
          <w:sz w:val="32"/>
          <w:szCs w:val="32"/>
          <w:shd w:val="clear" w:color="auto" w:fill="FFFFFF"/>
        </w:rPr>
        <w:t>（一）职能职责</w:t>
      </w:r>
    </w:p>
    <w:p>
      <w:pPr>
        <w:pStyle w:val="6"/>
        <w:shd w:val="clear" w:color="auto" w:fill="FFFFFF"/>
        <w:spacing w:before="0" w:beforeAutospacing="0" w:after="0" w:afterAutospacing="0"/>
        <w:ind w:firstLine="640" w:firstLineChars="200"/>
        <w:rPr>
          <w:rFonts w:hint="default" w:ascii="方正仿宋_GBK" w:hAnsi="仿宋_GB2312" w:eastAsia="方正仿宋_GBK" w:cs="仿宋_GB2312"/>
          <w:sz w:val="32"/>
          <w:szCs w:val="32"/>
        </w:rPr>
      </w:pPr>
      <w:r>
        <w:rPr>
          <w:rFonts w:ascii="方正仿宋_GBK" w:hAnsi="仿宋_GB2312" w:eastAsia="方正仿宋_GBK" w:cs="仿宋_GB2312"/>
          <w:sz w:val="32"/>
        </w:rPr>
        <w:t>1．负责全县普通高校招生考试、成人高校招生考试、高等教育自学考试、普通高中学业水平考试、中小学教师资格考试等国家教育考试报名、资格审核及组织实施工作；</w:t>
      </w:r>
    </w:p>
    <w:p>
      <w:pPr>
        <w:tabs>
          <w:tab w:val="center" w:pos="4153"/>
          <w:tab w:val="left" w:pos="7275"/>
        </w:tabs>
        <w:spacing w:line="600" w:lineRule="exact"/>
        <w:ind w:firstLine="739" w:firstLineChars="231"/>
        <w:rPr>
          <w:rFonts w:hint="default" w:ascii="方正仿宋_GBK" w:hAnsi="仿宋_GB2312" w:eastAsia="方正仿宋_GBK" w:cs="仿宋_GB2312"/>
          <w:sz w:val="32"/>
        </w:rPr>
      </w:pPr>
      <w:r>
        <w:rPr>
          <w:rFonts w:ascii="方正仿宋_GBK" w:hAnsi="仿宋_GB2312" w:eastAsia="方正仿宋_GBK" w:cs="仿宋_GB2312"/>
          <w:sz w:val="32"/>
        </w:rPr>
        <w:t>2．负责普通高校招生体检工作；</w:t>
      </w:r>
    </w:p>
    <w:p>
      <w:pPr>
        <w:tabs>
          <w:tab w:val="center" w:pos="4153"/>
          <w:tab w:val="left" w:pos="7275"/>
        </w:tabs>
        <w:spacing w:line="600" w:lineRule="exact"/>
        <w:ind w:firstLine="739" w:firstLineChars="231"/>
        <w:rPr>
          <w:rFonts w:hint="default" w:ascii="方正仿宋_GBK" w:hAnsi="仿宋_GB2312" w:eastAsia="方正仿宋_GBK" w:cs="仿宋_GB2312"/>
          <w:sz w:val="32"/>
        </w:rPr>
      </w:pPr>
      <w:r>
        <w:rPr>
          <w:rFonts w:ascii="方正仿宋_GBK" w:hAnsi="仿宋_GB2312" w:eastAsia="方正仿宋_GBK" w:cs="仿宋_GB2312"/>
          <w:sz w:val="32"/>
        </w:rPr>
        <w:t>3．调查和配合处理全县各类国家考试中发生的重大问题和违纪舞弊事件；</w:t>
      </w:r>
    </w:p>
    <w:p>
      <w:pPr>
        <w:tabs>
          <w:tab w:val="center" w:pos="4153"/>
          <w:tab w:val="left" w:pos="7275"/>
        </w:tabs>
        <w:spacing w:line="600" w:lineRule="exact"/>
        <w:ind w:firstLine="739" w:firstLineChars="231"/>
        <w:rPr>
          <w:rFonts w:hint="default" w:ascii="方正仿宋_GBK" w:hAnsi="仿宋_GB2312" w:eastAsia="方正仿宋_GBK" w:cs="仿宋_GB2312"/>
          <w:sz w:val="32"/>
        </w:rPr>
      </w:pPr>
      <w:r>
        <w:rPr>
          <w:rFonts w:ascii="方正仿宋_GBK" w:hAnsi="仿宋_GB2312" w:eastAsia="方正仿宋_GBK" w:cs="仿宋_GB2312"/>
          <w:sz w:val="32"/>
        </w:rPr>
        <w:t>4．负责国家教育考试队伍的建设和管理工作；</w:t>
      </w:r>
    </w:p>
    <w:p>
      <w:pPr>
        <w:tabs>
          <w:tab w:val="center" w:pos="4153"/>
          <w:tab w:val="left" w:pos="7275"/>
        </w:tabs>
        <w:spacing w:line="600" w:lineRule="exact"/>
        <w:ind w:firstLine="739" w:firstLineChars="231"/>
        <w:rPr>
          <w:rFonts w:hint="default" w:ascii="方正仿宋_GBK" w:hAnsi="仿宋_GB2312" w:eastAsia="方正仿宋_GBK" w:cs="仿宋_GB2312"/>
          <w:sz w:val="32"/>
        </w:rPr>
      </w:pPr>
      <w:r>
        <w:rPr>
          <w:rFonts w:ascii="方正仿宋_GBK" w:hAnsi="仿宋_GB2312" w:eastAsia="方正仿宋_GBK" w:cs="仿宋_GB2312"/>
          <w:sz w:val="32"/>
        </w:rPr>
        <w:t>5．负责国家教育考试标准化考点建设工作；</w:t>
      </w:r>
    </w:p>
    <w:p>
      <w:pPr>
        <w:tabs>
          <w:tab w:val="center" w:pos="4153"/>
          <w:tab w:val="left" w:pos="7275"/>
        </w:tabs>
        <w:spacing w:line="600" w:lineRule="exact"/>
        <w:ind w:firstLine="739" w:firstLineChars="231"/>
        <w:rPr>
          <w:rFonts w:hint="default" w:ascii="方正仿宋_GBK" w:hAnsi="仿宋_GB2312" w:eastAsia="方正仿宋_GBK" w:cs="仿宋_GB2312"/>
          <w:sz w:val="32"/>
        </w:rPr>
      </w:pPr>
      <w:r>
        <w:rPr>
          <w:rFonts w:ascii="方正仿宋_GBK" w:hAnsi="仿宋_GB2312" w:eastAsia="方正仿宋_GBK" w:cs="仿宋_GB2312"/>
          <w:sz w:val="32"/>
        </w:rPr>
        <w:t>6．承办上级交办的其他工作。</w:t>
      </w:r>
    </w:p>
    <w:p>
      <w:pPr>
        <w:pStyle w:val="6"/>
        <w:shd w:val="clear" w:color="auto" w:fill="FFFFFF"/>
        <w:spacing w:before="0" w:beforeAutospacing="0" w:after="0" w:afterAutospacing="0"/>
        <w:ind w:firstLine="420"/>
        <w:rPr>
          <w:rStyle w:val="10"/>
          <w:rFonts w:hint="default" w:ascii="楷体" w:hAnsi="楷体" w:eastAsia="楷体" w:cs="楷体"/>
          <w:sz w:val="32"/>
          <w:szCs w:val="32"/>
          <w:shd w:val="clear" w:color="auto" w:fill="FFFFFF"/>
        </w:rPr>
      </w:pPr>
      <w:r>
        <w:rPr>
          <w:rStyle w:val="10"/>
          <w:rFonts w:ascii="楷体" w:hAnsi="楷体" w:eastAsia="楷体" w:cs="楷体"/>
          <w:sz w:val="32"/>
          <w:szCs w:val="32"/>
          <w:shd w:val="clear" w:color="auto" w:fill="FFFFFF"/>
        </w:rPr>
        <w:t>（二）机构设置</w:t>
      </w:r>
    </w:p>
    <w:p>
      <w:pPr>
        <w:pStyle w:val="6"/>
        <w:spacing w:before="0" w:beforeAutospacing="0" w:after="0" w:afterAutospacing="0" w:line="600" w:lineRule="exact"/>
        <w:ind w:firstLine="640" w:firstLineChars="200"/>
        <w:rPr>
          <w:rFonts w:hint="default" w:ascii="方正仿宋_GBK" w:eastAsia="方正仿宋_GBK"/>
          <w:sz w:val="32"/>
          <w:szCs w:val="32"/>
        </w:rPr>
      </w:pPr>
      <w:r>
        <w:rPr>
          <w:rFonts w:ascii="方正仿宋_GBK" w:eastAsia="方正仿宋_GBK"/>
          <w:sz w:val="32"/>
          <w:szCs w:val="32"/>
        </w:rPr>
        <w:t>本单位内设综合科和考试科。</w:t>
      </w:r>
    </w:p>
    <w:p>
      <w:pPr>
        <w:pStyle w:val="6"/>
        <w:shd w:val="clear" w:color="auto" w:fill="FFFFFF"/>
        <w:spacing w:before="0" w:beforeAutospacing="0" w:after="0" w:afterAutospacing="0"/>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6"/>
        <w:shd w:val="clear" w:color="auto" w:fill="FFFFFF"/>
        <w:spacing w:before="0" w:beforeAutospacing="0" w:after="0" w:afterAutospacing="0"/>
        <w:ind w:firstLine="321" w:firstLineChars="100"/>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（一）收入支出决算总体情况说明。</w:t>
      </w:r>
    </w:p>
    <w:p>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2024年度收入总计582.68万元，支出总计</w:t>
      </w:r>
      <w:r>
        <w:rPr>
          <w:rFonts w:ascii="方正仿宋_GBK" w:hAnsi="方正仿宋_GBK" w:eastAsia="方正仿宋_GBK" w:cs="方正仿宋_GBK"/>
          <w:sz w:val="32"/>
          <w:szCs w:val="32"/>
        </w:rPr>
        <w:t>582.68</w:t>
      </w:r>
      <w:r>
        <w:rPr>
          <w:rFonts w:ascii="方正仿宋_GBK" w:hAnsi="方正仿宋_GBK" w:eastAsia="方正仿宋_GBK" w:cs="方正仿宋_GBK"/>
          <w:sz w:val="32"/>
          <w:szCs w:val="32"/>
          <w:shd w:val="clear" w:color="auto" w:fill="FFFFFF"/>
        </w:rPr>
        <w:t>万元。收、支与2023年度相比，减少143.80万元，下降19.79%，主要原因是全年12次考试规模较2023年减小，人数减少故收支减少。</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2024年度收入合计561.15万元，与2023年度相比，减少78.84万元，下降12.32%，主要原因是全年考试规模缩小，收入减少。其中：财政拨款收入</w:t>
      </w:r>
      <w:r>
        <w:rPr>
          <w:rFonts w:ascii="方正仿宋_GBK" w:hAnsi="方正仿宋_GBK" w:eastAsia="方正仿宋_GBK" w:cs="方正仿宋_GBK"/>
          <w:sz w:val="32"/>
          <w:szCs w:val="32"/>
        </w:rPr>
        <w:t>262.86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46.84</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298.29</w:t>
      </w:r>
      <w:r>
        <w:rPr>
          <w:rFonts w:ascii="方正仿宋_GBK" w:hAnsi="方正仿宋_GBK" w:eastAsia="方正仿宋_GBK" w:cs="方正仿宋_GBK"/>
          <w:sz w:val="32"/>
          <w:szCs w:val="32"/>
          <w:shd w:val="clear" w:color="auto" w:fill="FFFFFF"/>
        </w:rPr>
        <w:t>万元，占53.16%；经营收入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21.53</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582.68</w:t>
      </w:r>
      <w:r>
        <w:rPr>
          <w:rFonts w:ascii="方正仿宋_GBK" w:hAnsi="方正仿宋_GBK" w:eastAsia="方正仿宋_GBK" w:cs="方正仿宋_GBK"/>
          <w:sz w:val="32"/>
          <w:szCs w:val="32"/>
          <w:shd w:val="clear" w:color="auto" w:fill="FFFFFF"/>
        </w:rPr>
        <w:t>万元，与2023年度相比，减少35.97万元，下降5.81%，主要原因是考试规模缩小，人数减少。其中：基本支出</w:t>
      </w:r>
      <w:r>
        <w:rPr>
          <w:rFonts w:ascii="方正仿宋_GBK" w:hAnsi="方正仿宋_GBK" w:eastAsia="方正仿宋_GBK" w:cs="方正仿宋_GBK"/>
          <w:sz w:val="32"/>
          <w:szCs w:val="32"/>
        </w:rPr>
        <w:t>503.86</w:t>
      </w:r>
      <w:r>
        <w:rPr>
          <w:rFonts w:ascii="方正仿宋_GBK" w:hAnsi="方正仿宋_GBK" w:eastAsia="方正仿宋_GBK" w:cs="方正仿宋_GBK"/>
          <w:sz w:val="32"/>
          <w:szCs w:val="32"/>
          <w:shd w:val="clear" w:color="auto" w:fill="FFFFFF"/>
        </w:rPr>
        <w:t>万元，占86.47%；项目支出</w:t>
      </w:r>
      <w:r>
        <w:rPr>
          <w:rFonts w:ascii="方正仿宋_GBK" w:hAnsi="方正仿宋_GBK" w:eastAsia="方正仿宋_GBK" w:cs="方正仿宋_GBK"/>
          <w:sz w:val="32"/>
          <w:szCs w:val="32"/>
        </w:rPr>
        <w:t>78.82</w:t>
      </w:r>
      <w:r>
        <w:rPr>
          <w:rFonts w:ascii="方正仿宋_GBK" w:hAnsi="方正仿宋_GBK" w:eastAsia="方正仿宋_GBK" w:cs="方正仿宋_GBK"/>
          <w:sz w:val="32"/>
          <w:szCs w:val="32"/>
          <w:shd w:val="clear" w:color="auto" w:fill="FFFFFF"/>
        </w:rPr>
        <w:t>万元，占13.53%；经营支出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主要是</w:t>
      </w:r>
      <w:r>
        <w:rPr>
          <w:rFonts w:ascii="Times New Roman" w:hAnsi="Times New Roman" w:eastAsia="方正仿宋_GBK"/>
          <w:sz w:val="32"/>
          <w:szCs w:val="32"/>
          <w:shd w:val="clear" w:color="auto" w:fill="FFFFFF"/>
        </w:rPr>
        <w:t>本年度与上年度均无结转结余</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rPr>
        <w:t xml:space="preserve"> </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2024年度财政拨款收、支总计262.86万元。与2022年相比，财政拨款收、支总计各减少78.51万元，下降23.00%。主要原因是全年考试规模缩小，考试人数减少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故收支下降。</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262.86</w:t>
      </w:r>
      <w:r>
        <w:rPr>
          <w:rFonts w:ascii="方正仿宋_GBK" w:hAnsi="方正仿宋_GBK" w:eastAsia="方正仿宋_GBK" w:cs="方正仿宋_GBK"/>
          <w:sz w:val="32"/>
          <w:szCs w:val="32"/>
          <w:shd w:val="clear" w:color="auto" w:fill="FFFFFF"/>
        </w:rPr>
        <w:t>万元，与2023年度相比，减少78.51万元，下降23.00%。主要原因是本年度人数减少1人。较年初预算数增加103.08万元，增长64.51%。主要原因是正常晋升，各项人员支出增加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262.86</w:t>
      </w:r>
      <w:r>
        <w:rPr>
          <w:rFonts w:ascii="方正仿宋_GBK" w:hAnsi="方正仿宋_GBK" w:eastAsia="方正仿宋_GBK" w:cs="方正仿宋_GBK"/>
          <w:sz w:val="32"/>
          <w:szCs w:val="32"/>
          <w:shd w:val="clear" w:color="auto" w:fill="FFFFFF"/>
        </w:rPr>
        <w:t>万元，与2023年度相比，减少78.51万元，下降23.00%。主要原因是考试规模缩小，考试人数减少。较年初预算数增加103.08万元，增长64.51%。主要原因是正常晋升，各项人员支出增加</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主要是</w:t>
      </w:r>
      <w:r>
        <w:rPr>
          <w:rFonts w:ascii="Times New Roman" w:hAnsi="Times New Roman" w:eastAsia="方正仿宋_GBK"/>
          <w:sz w:val="32"/>
          <w:szCs w:val="32"/>
          <w:shd w:val="clear" w:color="auto" w:fill="FFFFFF"/>
        </w:rPr>
        <w:t>本年度与上年度均无结转结余</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208.46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79.31</w:t>
      </w:r>
      <w:r>
        <w:rPr>
          <w:rFonts w:ascii="方正仿宋_GBK" w:hAnsi="方正仿宋_GBK" w:eastAsia="方正仿宋_GBK" w:cs="方正仿宋_GBK"/>
          <w:sz w:val="32"/>
          <w:szCs w:val="32"/>
          <w:shd w:val="clear" w:color="auto" w:fill="FFFFFF"/>
        </w:rPr>
        <w:t>%，较年初预算数增加95.52万元，增长84.58%，主要原因是全年教育考试支出。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40.91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15.56</w:t>
      </w:r>
      <w:r>
        <w:rPr>
          <w:rFonts w:ascii="方正仿宋_GBK" w:hAnsi="方正仿宋_GBK" w:eastAsia="方正仿宋_GBK" w:cs="方正仿宋_GBK"/>
          <w:sz w:val="32"/>
          <w:szCs w:val="32"/>
          <w:shd w:val="clear" w:color="auto" w:fill="FFFFFF"/>
        </w:rPr>
        <w:t>%，较年初预算数增加6.90万元，增长20.29%，主要原因是人员支出增加。</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（3）卫生健康支出6.13万元，占</w:t>
      </w:r>
      <w:r>
        <w:rPr>
          <w:rFonts w:hint="default" w:ascii="方正仿宋_GBK" w:hAnsi="方正仿宋_GBK" w:eastAsia="方正仿宋_GBK" w:cs="方正仿宋_GBK"/>
          <w:sz w:val="32"/>
          <w:szCs w:val="32"/>
        </w:rPr>
        <w:t>0.04</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较年初预算数无增减，主要原因是严格按照预算执行。</w:t>
      </w:r>
    </w:p>
    <w:p>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住房保障支出7.36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2.80</w:t>
      </w:r>
      <w:r>
        <w:rPr>
          <w:rFonts w:ascii="方正仿宋_GBK" w:hAnsi="方正仿宋_GBK" w:eastAsia="方正仿宋_GBK" w:cs="方正仿宋_GBK"/>
          <w:sz w:val="32"/>
          <w:szCs w:val="32"/>
          <w:shd w:val="clear" w:color="auto" w:fill="FFFFFF"/>
        </w:rPr>
        <w:t>%，较年初预算数增加0.36万元，增长5.14%，主要原因是人员支出增加。</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eastAsia="方正仿宋_GBK"/>
          <w:sz w:val="32"/>
          <w:szCs w:val="32"/>
        </w:rPr>
      </w:pPr>
      <w:r>
        <w:rPr>
          <w:rFonts w:hint="default" w:ascii="Cambria" w:hAnsi="Cambria" w:eastAsia="方正仿宋_GBK" w:cs="Cambria"/>
          <w:sz w:val="32"/>
          <w:szCs w:val="32"/>
          <w:shd w:val="clear" w:color="auto" w:fill="FFFFFF"/>
        </w:rPr>
        <w:t> </w:t>
      </w:r>
      <w:r>
        <w:rPr>
          <w:rFonts w:ascii="方正仿宋_GBK" w:hAnsi="方正仿宋_GBK" w:eastAsia="方正仿宋_GBK" w:cs="方正仿宋_GBK"/>
          <w:sz w:val="32"/>
          <w:szCs w:val="32"/>
          <w:shd w:val="clear" w:color="auto" w:fill="FFFFFF"/>
        </w:rPr>
        <w:t>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184.04</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164.83</w:t>
      </w:r>
      <w:r>
        <w:rPr>
          <w:rFonts w:ascii="方正仿宋_GBK" w:hAnsi="方正仿宋_GBK" w:eastAsia="方正仿宋_GBK" w:cs="方正仿宋_GBK"/>
          <w:sz w:val="32"/>
          <w:szCs w:val="32"/>
          <w:shd w:val="clear" w:color="auto" w:fill="FFFFFF"/>
        </w:rPr>
        <w:t>万元，与2023年度相比，减少7.59万元，下降4.40%，主要原因是</w:t>
      </w:r>
      <w:r>
        <w:rPr>
          <w:rFonts w:ascii="方正仿宋_GBK" w:hAnsi="方正仿宋_GBK" w:eastAsia="方正仿宋_GBK" w:cs="方正仿宋_GBK"/>
          <w:color w:val="000000" w:themeColor="text1"/>
          <w:sz w:val="32"/>
          <w:szCs w:val="32"/>
          <w:shd w:val="clear" w:color="auto" w:fill="FFFFFF"/>
        </w:rPr>
        <w:t>2024年本单位调出1人，支出减少。</w:t>
      </w:r>
      <w:r>
        <w:rPr>
          <w:rFonts w:ascii="方正仿宋_GBK" w:hAnsi="方正仿宋_GBK" w:eastAsia="方正仿宋_GBK" w:cs="方正仿宋_GBK"/>
          <w:sz w:val="32"/>
          <w:szCs w:val="32"/>
          <w:shd w:val="clear" w:color="auto" w:fill="FFFFFF"/>
        </w:rPr>
        <w:t>人员经费</w:t>
      </w:r>
      <w:r>
        <w:rPr>
          <w:rFonts w:ascii="方正仿宋_GBK" w:eastAsia="方正仿宋_GBK"/>
          <w:sz w:val="32"/>
          <w:szCs w:val="32"/>
        </w:rPr>
        <w:t>用途主要包括</w:t>
      </w:r>
      <w:r>
        <w:rPr>
          <w:rFonts w:ascii="方正仿宋_GBK" w:eastAsia="方正仿宋_GBK"/>
          <w:color w:val="000000" w:themeColor="text1"/>
          <w:sz w:val="32"/>
          <w:szCs w:val="32"/>
        </w:rPr>
        <w:t>统发工资、绩效工资、社会保障和就业支出、医疗卫生支出和住房保障支出。</w:t>
      </w:r>
      <w:r>
        <w:rPr>
          <w:rFonts w:ascii="方正仿宋_GBK" w:hAnsi="方正仿宋_GBK" w:eastAsia="方正仿宋_GBK" w:cs="方正仿宋_GBK"/>
          <w:color w:val="000000" w:themeColor="text1"/>
          <w:sz w:val="32"/>
          <w:szCs w:val="32"/>
          <w:shd w:val="clear" w:color="auto" w:fill="FFFFFF"/>
        </w:rPr>
        <w:t>公用经费</w:t>
      </w:r>
      <w:r>
        <w:rPr>
          <w:rFonts w:ascii="方正仿宋_GBK" w:hAnsi="方正仿宋_GBK" w:eastAsia="方正仿宋_GBK" w:cs="方正仿宋_GBK"/>
          <w:color w:val="000000" w:themeColor="text1"/>
          <w:sz w:val="32"/>
          <w:szCs w:val="32"/>
        </w:rPr>
        <w:t>19.21</w:t>
      </w:r>
      <w:r>
        <w:rPr>
          <w:rFonts w:ascii="方正仿宋_GBK" w:hAnsi="方正仿宋_GBK" w:eastAsia="方正仿宋_GBK" w:cs="方正仿宋_GBK"/>
          <w:color w:val="000000" w:themeColor="text1"/>
          <w:sz w:val="32"/>
          <w:szCs w:val="32"/>
          <w:shd w:val="clear" w:color="auto" w:fill="FFFFFF"/>
        </w:rPr>
        <w:t>万元，与2023年度相比，增加0.25万元，增长1.32%，主要原因是</w:t>
      </w:r>
      <w:r>
        <w:rPr>
          <w:rFonts w:hint="default" w:ascii="方正仿宋_GBK" w:hAnsi="方正仿宋_GBK" w:eastAsia="方正仿宋_GBK" w:cs="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年增加调入1人，</w:t>
      </w:r>
      <w:r>
        <w:rPr>
          <w:rFonts w:ascii="方正仿宋_GBK" w:hAnsi="方正仿宋_GBK" w:eastAsia="方正仿宋_GBK" w:cs="方正仿宋_GBK"/>
          <w:sz w:val="32"/>
          <w:szCs w:val="32"/>
          <w:shd w:val="clear" w:color="auto" w:fill="FFFFFF"/>
        </w:rPr>
        <w:t>公用经费用途主要包括</w:t>
      </w:r>
      <w:r>
        <w:rPr>
          <w:rFonts w:ascii="方正仿宋_GBK" w:eastAsia="方正仿宋_GBK"/>
          <w:sz w:val="32"/>
          <w:szCs w:val="32"/>
        </w:rPr>
        <w:t>单位正常运行的办公支出、水电费等支出。</w:t>
      </w:r>
    </w:p>
    <w:p>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Times New Roman" w:hAnsi="Times New Roman" w:eastAsia="方正仿宋_GBK" w:cs="Times New Roman"/>
          <w:sz w:val="32"/>
          <w:szCs w:val="32"/>
        </w:rPr>
        <w:t>2024</w:t>
      </w:r>
      <w:r>
        <w:rPr>
          <w:rFonts w:hint="eastAsia" w:ascii="Times New Roman" w:hAnsi="方正仿宋_GBK" w:eastAsia="方正仿宋_GBK" w:cs="方正仿宋_GBK"/>
          <w:sz w:val="32"/>
          <w:szCs w:val="32"/>
        </w:rPr>
        <w:t>年度政府性基金预算财政拨款年初结转结余</w:t>
      </w:r>
      <w:r>
        <w:rPr>
          <w:rFonts w:ascii="Times New Roman" w:hAnsi="Times New Roman" w:eastAsia="方正仿宋_GBK" w:cs="Times New Roman"/>
          <w:sz w:val="32"/>
          <w:szCs w:val="32"/>
        </w:rPr>
        <w:t>0.00</w:t>
      </w:r>
      <w:r>
        <w:rPr>
          <w:rFonts w:hint="eastAsia" w:ascii="Times New Roman" w:hAnsi="方正仿宋_GBK" w:eastAsia="方正仿宋_GBK" w:cs="方正仿宋_GBK"/>
          <w:sz w:val="32"/>
          <w:szCs w:val="32"/>
        </w:rPr>
        <w:t>万元，年末结转结余</w:t>
      </w:r>
      <w:r>
        <w:rPr>
          <w:rFonts w:ascii="Times New Roman" w:hAnsi="Times New Roman" w:eastAsia="方正仿宋_GBK" w:cs="Times New Roman"/>
          <w:sz w:val="32"/>
          <w:szCs w:val="32"/>
        </w:rPr>
        <w:t>0.00</w:t>
      </w:r>
      <w:r>
        <w:rPr>
          <w:rFonts w:hint="eastAsia" w:ascii="Times New Roman" w:hAnsi="方正仿宋_GBK" w:eastAsia="方正仿宋_GBK" w:cs="方正仿宋_GBK"/>
          <w:sz w:val="32"/>
          <w:szCs w:val="32"/>
        </w:rPr>
        <w:t>万元。本年收入</w:t>
      </w:r>
      <w:r>
        <w:rPr>
          <w:rFonts w:ascii="Times New Roman" w:hAnsi="Times New Roman" w:eastAsia="方正仿宋_GBK" w:cs="Times New Roman"/>
          <w:sz w:val="32"/>
          <w:szCs w:val="32"/>
        </w:rPr>
        <w:t>0.00</w:t>
      </w:r>
      <w:r>
        <w:rPr>
          <w:rFonts w:hint="eastAsia" w:ascii="Times New Roman" w:hAnsi="方正仿宋_GBK" w:eastAsia="方正仿宋_GBK" w:cs="方正仿宋_GBK"/>
          <w:sz w:val="32"/>
          <w:szCs w:val="32"/>
        </w:rPr>
        <w:t>万元，与</w:t>
      </w:r>
      <w:r>
        <w:rPr>
          <w:rFonts w:ascii="Times New Roman" w:hAnsi="Times New Roman" w:eastAsia="方正仿宋_GBK" w:cs="Times New Roman"/>
          <w:sz w:val="32"/>
          <w:szCs w:val="32"/>
        </w:rPr>
        <w:t>2023</w:t>
      </w:r>
      <w:r>
        <w:rPr>
          <w:rFonts w:hint="eastAsia" w:ascii="Times New Roman" w:hAnsi="方正仿宋_GBK" w:eastAsia="方正仿宋_GBK" w:cs="方正仿宋_GBK"/>
          <w:sz w:val="32"/>
          <w:szCs w:val="32"/>
        </w:rPr>
        <w:t>年度相比，减少</w:t>
      </w:r>
      <w:r>
        <w:rPr>
          <w:rFonts w:hint="eastAsia" w:ascii="Times New Roman" w:hAnsi="方正仿宋_GBK" w:eastAsia="方正仿宋_GBK" w:cs="方正仿宋_GBK"/>
          <w:sz w:val="32"/>
          <w:szCs w:val="32"/>
          <w:lang w:val="en-US" w:eastAsia="zh-CN"/>
        </w:rPr>
        <w:t>0.00</w:t>
      </w:r>
      <w:r>
        <w:rPr>
          <w:rFonts w:hint="eastAsia" w:ascii="Times New Roman" w:hAnsi="方正仿宋_GBK" w:eastAsia="方正仿宋_GBK" w:cs="方正仿宋_GBK"/>
          <w:sz w:val="32"/>
          <w:szCs w:val="32"/>
        </w:rPr>
        <w:t>万元，下降</w:t>
      </w:r>
      <w:r>
        <w:rPr>
          <w:rFonts w:hint="eastAsia" w:ascii="Times New Roman" w:hAnsi="Times New Roman" w:eastAsia="方正仿宋_GBK" w:cs="Times New Roman"/>
          <w:sz w:val="32"/>
          <w:szCs w:val="32"/>
          <w:lang w:val="en-US" w:eastAsia="zh-CN"/>
        </w:rPr>
        <w:t>0</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0</w:t>
      </w:r>
      <w:r>
        <w:rPr>
          <w:rFonts w:ascii="Times New Roman" w:hAnsi="Times New Roman" w:eastAsia="方正仿宋_GBK" w:cs="Times New Roman"/>
          <w:sz w:val="32"/>
          <w:szCs w:val="32"/>
        </w:rPr>
        <w:t>0%</w:t>
      </w:r>
      <w:r>
        <w:rPr>
          <w:rFonts w:hint="eastAsia" w:ascii="Times New Roman" w:hAnsi="方正仿宋_GBK" w:eastAsia="方正仿宋_GBK" w:cs="方正仿宋_GBK"/>
          <w:sz w:val="32"/>
          <w:szCs w:val="32"/>
        </w:rPr>
        <w:t>，主要原因是本单位</w:t>
      </w:r>
      <w:r>
        <w:rPr>
          <w:rFonts w:ascii="Times New Roman" w:hAnsi="Times New Roman" w:eastAsia="方正仿宋_GBK" w:cs="Times New Roman"/>
          <w:sz w:val="32"/>
          <w:szCs w:val="32"/>
        </w:rPr>
        <w:t>2024</w:t>
      </w:r>
      <w:r>
        <w:rPr>
          <w:rFonts w:hint="eastAsia" w:ascii="Times New Roman" w:hAnsi="方正仿宋_GBK" w:eastAsia="方正仿宋_GBK" w:cs="方正仿宋_GBK"/>
          <w:sz w:val="32"/>
          <w:szCs w:val="32"/>
        </w:rPr>
        <w:t>年度无政府性基金预算财政拨款收入。本年支出</w:t>
      </w:r>
      <w:r>
        <w:rPr>
          <w:rFonts w:ascii="Times New Roman" w:hAnsi="Times New Roman" w:eastAsia="方正仿宋_GBK" w:cs="Times New Roman"/>
          <w:sz w:val="32"/>
          <w:szCs w:val="32"/>
        </w:rPr>
        <w:t>0.00</w:t>
      </w:r>
      <w:r>
        <w:rPr>
          <w:rFonts w:hint="eastAsia" w:ascii="Times New Roman" w:hAnsi="方正仿宋_GBK" w:eastAsia="方正仿宋_GBK" w:cs="方正仿宋_GBK"/>
          <w:sz w:val="32"/>
          <w:szCs w:val="32"/>
        </w:rPr>
        <w:t>万元，与</w:t>
      </w:r>
      <w:r>
        <w:rPr>
          <w:rFonts w:ascii="Times New Roman" w:hAnsi="Times New Roman" w:eastAsia="方正仿宋_GBK" w:cs="Times New Roman"/>
          <w:sz w:val="32"/>
          <w:szCs w:val="32"/>
        </w:rPr>
        <w:t>2023</w:t>
      </w:r>
      <w:r>
        <w:rPr>
          <w:rFonts w:hint="eastAsia" w:ascii="Times New Roman" w:hAnsi="方正仿宋_GBK" w:eastAsia="方正仿宋_GBK" w:cs="方正仿宋_GBK"/>
          <w:sz w:val="32"/>
          <w:szCs w:val="32"/>
        </w:rPr>
        <w:t>年度相比，减少</w:t>
      </w:r>
      <w:r>
        <w:rPr>
          <w:rFonts w:hint="eastAsia" w:ascii="Times New Roman" w:hAnsi="Times New Roman" w:eastAsia="方正仿宋_GBK" w:cs="Times New Roman"/>
          <w:sz w:val="32"/>
          <w:szCs w:val="32"/>
          <w:lang w:val="en-US" w:eastAsia="zh-CN"/>
        </w:rPr>
        <w:t>0.00</w:t>
      </w:r>
      <w:r>
        <w:rPr>
          <w:rFonts w:hint="eastAsia" w:ascii="Times New Roman" w:hAnsi="方正仿宋_GBK" w:eastAsia="方正仿宋_GBK" w:cs="方正仿宋_GBK"/>
          <w:sz w:val="32"/>
          <w:szCs w:val="32"/>
        </w:rPr>
        <w:t>万元，下降</w:t>
      </w:r>
      <w:r>
        <w:rPr>
          <w:rFonts w:hint="eastAsia" w:ascii="Times New Roman" w:hAnsi="Times New Roman" w:eastAsia="方正仿宋_GBK" w:cs="Times New Roman"/>
          <w:sz w:val="32"/>
          <w:szCs w:val="32"/>
          <w:lang w:val="en-US" w:eastAsia="zh-CN"/>
        </w:rPr>
        <w:t>0.00</w:t>
      </w:r>
      <w:r>
        <w:rPr>
          <w:rFonts w:ascii="Times New Roman" w:hAnsi="Times New Roman" w:eastAsia="方正仿宋_GBK" w:cs="Times New Roman"/>
          <w:sz w:val="32"/>
          <w:szCs w:val="32"/>
        </w:rPr>
        <w:t>%</w:t>
      </w:r>
      <w:r>
        <w:rPr>
          <w:rFonts w:hint="eastAsia" w:ascii="Times New Roman" w:hAnsi="方正仿宋_GBK" w:eastAsia="方正仿宋_GBK" w:cs="方正仿宋_GBK"/>
          <w:sz w:val="32"/>
          <w:szCs w:val="32"/>
        </w:rPr>
        <w:t>，</w:t>
      </w:r>
      <w:r>
        <w:rPr>
          <w:rFonts w:ascii="方正仿宋_GBK" w:hAnsi="方正仿宋_GBK" w:eastAsia="方正仿宋_GBK" w:cs="方正仿宋_GBK"/>
          <w:color w:val="000000" w:themeColor="text1"/>
          <w:sz w:val="32"/>
          <w:szCs w:val="32"/>
          <w:shd w:val="clear" w:color="auto" w:fill="FFFFFF"/>
        </w:rPr>
        <w:t>本单位2024年度无政府性基金预算财政拨款收支。</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Times New Roman" w:hAnsi="Times New Roman" w:eastAsia="方正仿宋_GBK" w:cs="Times New Roman"/>
          <w:sz w:val="32"/>
          <w:szCs w:val="32"/>
        </w:rPr>
        <w:t>2024</w:t>
      </w:r>
      <w:r>
        <w:rPr>
          <w:rFonts w:hint="eastAsia" w:ascii="Times New Roman" w:hAnsi="方正仿宋_GBK" w:eastAsia="方正仿宋_GBK" w:cs="方正仿宋_GBK"/>
          <w:sz w:val="32"/>
          <w:szCs w:val="32"/>
        </w:rPr>
        <w:t>年度国有资本经营预算财政拨</w:t>
      </w:r>
      <w:r>
        <w:rPr>
          <w:rFonts w:hint="eastAsia" w:ascii="Times New Roman" w:hAnsi="方正仿宋_GBK" w:eastAsia="方正仿宋_GBK" w:cs="方正仿宋_GBK"/>
          <w:sz w:val="32"/>
          <w:szCs w:val="32"/>
          <w:lang w:val="en-US" w:eastAsia="zh-CN"/>
        </w:rPr>
        <w:t>款</w:t>
      </w:r>
      <w:r>
        <w:rPr>
          <w:rFonts w:hint="eastAsia" w:ascii="Times New Roman" w:hAnsi="方正仿宋_GBK" w:eastAsia="方正仿宋_GBK" w:cs="方正仿宋_GBK"/>
          <w:sz w:val="32"/>
          <w:szCs w:val="32"/>
        </w:rPr>
        <w:t>本年支出</w:t>
      </w:r>
      <w:r>
        <w:rPr>
          <w:rFonts w:ascii="Times New Roman" w:hAnsi="Times New Roman" w:eastAsia="方正仿宋_GBK" w:cs="Times New Roman"/>
          <w:sz w:val="32"/>
          <w:szCs w:val="32"/>
        </w:rPr>
        <w:t>0.00</w:t>
      </w:r>
      <w:r>
        <w:rPr>
          <w:rFonts w:hint="eastAsia" w:ascii="Times New Roman" w:hAnsi="方正仿宋_GBK" w:eastAsia="方正仿宋_GBK" w:cs="方正仿宋_GBK"/>
          <w:sz w:val="32"/>
          <w:szCs w:val="32"/>
        </w:rPr>
        <w:t>万元，基本支出</w:t>
      </w:r>
      <w:r>
        <w:rPr>
          <w:rFonts w:ascii="Times New Roman" w:hAnsi="Times New Roman" w:eastAsia="方正仿宋_GBK" w:cs="Times New Roman"/>
          <w:sz w:val="32"/>
          <w:szCs w:val="32"/>
        </w:rPr>
        <w:t>0.00</w:t>
      </w:r>
      <w:r>
        <w:rPr>
          <w:rFonts w:hint="eastAsia" w:ascii="Times New Roman" w:hAnsi="方正仿宋_GBK" w:eastAsia="方正仿宋_GBK" w:cs="方正仿宋_GBK"/>
          <w:sz w:val="32"/>
          <w:szCs w:val="32"/>
        </w:rPr>
        <w:t>万元，项目支出</w:t>
      </w:r>
      <w:r>
        <w:rPr>
          <w:rFonts w:ascii="Times New Roman" w:hAnsi="Times New Roman" w:eastAsia="方正仿宋_GBK" w:cs="Times New Roman"/>
          <w:sz w:val="32"/>
          <w:szCs w:val="32"/>
        </w:rPr>
        <w:t>0.00</w:t>
      </w:r>
      <w:r>
        <w:rPr>
          <w:rFonts w:hint="eastAsia" w:ascii="Times New Roman" w:hAnsi="方正仿宋_GBK" w:eastAsia="方正仿宋_GBK" w:cs="方正仿宋_GBK"/>
          <w:sz w:val="32"/>
          <w:szCs w:val="32"/>
        </w:rPr>
        <w:t>万元。</w:t>
      </w:r>
      <w:r>
        <w:rPr>
          <w:rFonts w:ascii="方正仿宋_GBK" w:hAnsi="方正仿宋_GBK" w:eastAsia="方正仿宋_GBK" w:cs="方正仿宋_GBK"/>
          <w:color w:val="000000" w:themeColor="text1"/>
          <w:sz w:val="32"/>
          <w:szCs w:val="32"/>
          <w:shd w:val="clear" w:color="auto" w:fill="FFFFFF"/>
        </w:rPr>
        <w:t>本单位2024年度无国有资本经营预算财政拨款支出。</w:t>
      </w:r>
    </w:p>
    <w:p>
      <w:pPr>
        <w:pStyle w:val="6"/>
        <w:shd w:val="clear" w:color="auto" w:fill="FFFFFF"/>
        <w:spacing w:before="0" w:beforeAutospacing="0" w:after="0" w:afterAutospacing="0"/>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11"/>
        <w:autoSpaceDE w:val="0"/>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3.00</w:t>
      </w:r>
      <w:r>
        <w:rPr>
          <w:rFonts w:ascii="方正仿宋_GBK" w:hAnsi="方正仿宋_GBK" w:eastAsia="方正仿宋_GBK" w:cs="方正仿宋_GBK"/>
          <w:sz w:val="32"/>
          <w:szCs w:val="32"/>
          <w:shd w:val="clear" w:color="auto" w:fill="FFFFFF"/>
        </w:rPr>
        <w:t>万元，较年初预算数无增减，</w:t>
      </w:r>
      <w:r>
        <w:rPr>
          <w:rFonts w:hint="eastAsia" w:ascii="方正仿宋_GBK" w:hAnsi="方正仿宋_GBK" w:eastAsia="方正仿宋_GBK" w:cs="方正仿宋_GBK"/>
          <w:sz w:val="32"/>
          <w:szCs w:val="32"/>
          <w:shd w:val="clear" w:color="auto" w:fill="FFFFFF"/>
          <w:lang w:val="en-US" w:eastAsia="zh-CN"/>
        </w:rPr>
        <w:t>主要原因是严格执行预算。</w:t>
      </w:r>
      <w:r>
        <w:rPr>
          <w:rFonts w:ascii="方正仿宋_GBK" w:hAnsi="方正仿宋_GBK" w:eastAsia="方正仿宋_GBK" w:cs="方正仿宋_GBK"/>
          <w:sz w:val="32"/>
          <w:szCs w:val="32"/>
          <w:shd w:val="clear" w:color="auto" w:fill="FFFFFF"/>
        </w:rPr>
        <w:t>较上年支出数增加3.00万元，增长100.00%，主要原因是2024</w:t>
      </w:r>
      <w:r>
        <w:rPr>
          <w:rFonts w:hint="eastAsia" w:ascii="方正仿宋_GBK" w:hAnsi="方正仿宋_GBK" w:eastAsia="方正仿宋_GBK" w:cs="方正仿宋_GBK"/>
          <w:sz w:val="32"/>
          <w:szCs w:val="32"/>
          <w:shd w:val="clear" w:color="auto" w:fill="FFFFFF"/>
        </w:rPr>
        <w:t>年</w:t>
      </w:r>
      <w:r>
        <w:rPr>
          <w:rFonts w:ascii="方正仿宋_GBK" w:hAnsi="方正仿宋_GBK" w:eastAsia="方正仿宋_GBK" w:cs="方正仿宋_GBK"/>
          <w:sz w:val="32"/>
          <w:szCs w:val="32"/>
          <w:shd w:val="clear" w:color="auto" w:fill="FFFFFF"/>
        </w:rPr>
        <w:t>我单位</w:t>
      </w:r>
      <w:r>
        <w:rPr>
          <w:rFonts w:hint="eastAsia" w:ascii="方正仿宋_GBK" w:hAnsi="方正仿宋_GBK" w:eastAsia="方正仿宋_GBK" w:cs="方正仿宋_GBK"/>
          <w:sz w:val="32"/>
          <w:szCs w:val="32"/>
          <w:shd w:val="clear" w:color="auto" w:fill="FFFFFF"/>
        </w:rPr>
        <w:t>新增一辆公务用车</w:t>
      </w:r>
      <w:r>
        <w:rPr>
          <w:rFonts w:ascii="方正仿宋_GBK" w:hAnsi="方正仿宋_GBK" w:eastAsia="方正仿宋_GBK" w:cs="方正仿宋_GBK"/>
          <w:sz w:val="32"/>
          <w:szCs w:val="32"/>
          <w:shd w:val="clear" w:color="auto" w:fill="FFFFFF"/>
        </w:rPr>
        <w:t>，故新增公务车运行维护费。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pacing w:before="0" w:beforeAutospacing="0" w:after="0" w:afterAutospacing="0"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2024年度本</w:t>
      </w:r>
      <w:r>
        <w:rPr>
          <w:rFonts w:hint="eastAsia" w:ascii="方正仿宋_GBK" w:hAnsi="方正仿宋_GBK" w:eastAsia="方正仿宋_GBK" w:cs="方正仿宋_GBK"/>
          <w:kern w:val="0"/>
          <w:sz w:val="32"/>
          <w:szCs w:val="32"/>
          <w:shd w:val="clear" w:color="auto" w:fill="FFFFFF"/>
        </w:rPr>
        <w:t>单位</w:t>
      </w:r>
      <w:r>
        <w:rPr>
          <w:rFonts w:ascii="方正仿宋_GBK" w:hAnsi="方正仿宋_GBK" w:eastAsia="方正仿宋_GBK" w:cs="方正仿宋_GBK"/>
          <w:kern w:val="0"/>
          <w:sz w:val="32"/>
          <w:szCs w:val="32"/>
          <w:shd w:val="clear" w:color="auto" w:fill="FFFFFF"/>
        </w:rPr>
        <w:t>因公出国（境）费用0.00万元。费用支出较年初预算数无增减，主要原因是年初预算未安排因公出国（境）费用，也未发生因公出国（境）费用。较上年支出数无增减，主要原因是上年和本年均未发生因公出国（境）费用。</w:t>
      </w:r>
    </w:p>
    <w:p>
      <w:pPr>
        <w:pStyle w:val="6"/>
        <w:spacing w:before="0" w:beforeAutospacing="0" w:after="0" w:afterAutospacing="0" w:line="600" w:lineRule="exact"/>
        <w:ind w:firstLine="640" w:firstLineChars="200"/>
        <w:rPr>
          <w:rFonts w:ascii="方正仿宋_GBK" w:eastAsia="方正仿宋_GBK"/>
          <w:sz w:val="32"/>
          <w:szCs w:val="32"/>
        </w:rPr>
      </w:pPr>
      <w:r>
        <w:rPr>
          <w:rFonts w:ascii="方正仿宋_GBK" w:hAnsi="方正仿宋_GBK" w:eastAsia="方正仿宋_GBK" w:cs="方正仿宋_GBK"/>
          <w:kern w:val="0"/>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r>
        <w:rPr>
          <w:rFonts w:ascii="方正仿宋_GBK" w:hAnsi="方正仿宋_GBK" w:eastAsia="方正仿宋_GBK" w:cs="方正仿宋_GBK"/>
          <w:sz w:val="32"/>
          <w:szCs w:val="32"/>
          <w:shd w:val="clear" w:color="auto" w:fill="FFFFFF"/>
        </w:rPr>
        <w:t> </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3.00</w:t>
      </w:r>
      <w:r>
        <w:rPr>
          <w:rFonts w:ascii="方正仿宋_GBK" w:hAnsi="方正仿宋_GBK" w:eastAsia="方正仿宋_GBK" w:cs="方正仿宋_GBK"/>
          <w:sz w:val="32"/>
          <w:szCs w:val="32"/>
          <w:shd w:val="clear" w:color="auto" w:fill="FFFFFF"/>
        </w:rPr>
        <w:t>万元，主要用于本单位公务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车运行维护。费用支出较年初预算数无增减，主要原因是按需计划预算。较上年支出数增加3.00万元，增长100.00%，主要原因是本单位新增一辆公务用车。</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3.00</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Times New Roman" w:hAnsi="方正仿宋_GBK" w:eastAsia="方正仿宋_GBK" w:cs="方正仿宋_GBK"/>
          <w:sz w:val="32"/>
          <w:szCs w:val="32"/>
        </w:rPr>
        <w:t>主要原因是</w:t>
      </w:r>
      <w:r>
        <w:rPr>
          <w:rFonts w:hint="eastAsia" w:ascii="Times New Roman" w:hAnsi="Times New Roman" w:eastAsia="方正仿宋_GBK" w:cs="方正仿宋_GBK"/>
          <w:sz w:val="32"/>
          <w:szCs w:val="32"/>
        </w:rPr>
        <w:t>上年和本年均未发生会议费支出</w:t>
      </w:r>
      <w:r>
        <w:rPr>
          <w:rFonts w:hint="eastAsia" w:ascii="Times New Roman" w:hAnsi="方正仿宋_GBK" w:eastAsia="方正仿宋_GBK" w:cs="方正仿宋_GBK"/>
          <w:sz w:val="32"/>
          <w:szCs w:val="32"/>
        </w:rPr>
        <w:t>。</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0.29</w:t>
      </w:r>
      <w:r>
        <w:rPr>
          <w:rFonts w:ascii="方正仿宋_GBK" w:hAnsi="方正仿宋_GBK" w:eastAsia="方正仿宋_GBK" w:cs="方正仿宋_GBK"/>
          <w:sz w:val="32"/>
          <w:szCs w:val="32"/>
          <w:shd w:val="clear" w:color="auto" w:fill="FFFFFF"/>
        </w:rPr>
        <w:t>万元，与2023年度相比，减少0.21万元，下降42.00%，主要原因是本年度培训减少。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pacing w:before="0" w:beforeAutospacing="0" w:after="0" w:afterAutospacing="0" w:line="600"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2024年度本部门机关运行经费支出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eastAsia="方正仿宋_GBK"/>
          <w:sz w:val="32"/>
          <w:szCs w:val="32"/>
        </w:rPr>
        <w:t>主要原因是按照部门决算列报口径，我单位不在机关运行经费统计范围之内。</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6"/>
        <w:shd w:val="clear" w:color="auto" w:fill="FFFFFF"/>
        <w:spacing w:before="0" w:beforeAutospacing="0" w:after="0" w:afterAutospacing="0"/>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五、</w:t>
      </w:r>
      <w:r>
        <w:rPr>
          <w:rStyle w:val="10"/>
          <w:rFonts w:hint="eastAsia" w:ascii="黑体" w:hAnsi="黑体" w:eastAsia="黑体" w:cs="黑体"/>
          <w:sz w:val="32"/>
          <w:szCs w:val="32"/>
          <w:shd w:val="clear" w:color="auto" w:fill="FFFFFF"/>
          <w:lang w:val="en-US" w:eastAsia="zh-CN" w:bidi="ar-SA"/>
        </w:rPr>
        <w:t>2024年度预算绩效管理情况说明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6"/>
        <w:spacing w:before="0" w:beforeAutospacing="0" w:after="0" w:afterAutospacing="0" w:line="600" w:lineRule="exact"/>
        <w:ind w:firstLine="640" w:firstLineChars="200"/>
        <w:rPr>
          <w:rFonts w:hint="default" w:ascii="方正仿宋_GBK" w:eastAsia="方正仿宋_GBK"/>
          <w:sz w:val="32"/>
          <w:szCs w:val="32"/>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eastAsia="方正仿宋_GBK"/>
          <w:sz w:val="32"/>
          <w:szCs w:val="32"/>
        </w:rPr>
        <w:t>根据预算绩效管理要求，我单位</w:t>
      </w:r>
      <w:r>
        <w:rPr>
          <w:rFonts w:hint="eastAsia" w:ascii="方正仿宋_GBK" w:eastAsia="方正仿宋_GBK"/>
          <w:sz w:val="32"/>
          <w:szCs w:val="32"/>
          <w:lang w:val="en-US" w:eastAsia="zh-CN"/>
        </w:rPr>
        <w:t>对</w:t>
      </w:r>
      <w:r>
        <w:rPr>
          <w:rFonts w:ascii="方正仿宋_GBK" w:eastAsia="方正仿宋_GBK"/>
          <w:sz w:val="32"/>
          <w:szCs w:val="32"/>
        </w:rPr>
        <w:t>1个二级项目</w:t>
      </w:r>
      <w:r>
        <w:rPr>
          <w:rFonts w:hint="eastAsia" w:ascii="方正仿宋_GBK" w:eastAsia="方正仿宋_GBK"/>
          <w:sz w:val="32"/>
          <w:szCs w:val="32"/>
          <w:lang w:val="en-US" w:eastAsia="zh-CN"/>
        </w:rPr>
        <w:t>开展</w:t>
      </w:r>
      <w:r>
        <w:rPr>
          <w:rFonts w:ascii="方正仿宋_GBK" w:eastAsia="方正仿宋_GBK"/>
          <w:sz w:val="32"/>
          <w:szCs w:val="32"/>
        </w:rPr>
        <w:t>预算管理自评工作。涉及资金</w:t>
      </w:r>
      <w:r>
        <w:rPr>
          <w:rFonts w:hint="default" w:ascii="方正仿宋_GBK" w:eastAsia="方正仿宋_GBK"/>
          <w:sz w:val="32"/>
          <w:szCs w:val="32"/>
        </w:rPr>
        <w:t>78.8</w:t>
      </w:r>
      <w:r>
        <w:rPr>
          <w:rFonts w:ascii="方正仿宋_GBK" w:eastAsia="方正仿宋_GBK"/>
          <w:sz w:val="32"/>
          <w:szCs w:val="32"/>
        </w:rPr>
        <w:t>万元。</w:t>
      </w:r>
    </w:p>
    <w:tbl>
      <w:tblPr>
        <w:tblStyle w:val="7"/>
        <w:tblW w:w="10680" w:type="dxa"/>
        <w:tblInd w:w="108" w:type="dxa"/>
        <w:tblLayout w:type="fixed"/>
        <w:tblCellMar>
          <w:top w:w="0" w:type="dxa"/>
          <w:left w:w="108" w:type="dxa"/>
          <w:bottom w:w="0" w:type="dxa"/>
          <w:right w:w="108" w:type="dxa"/>
        </w:tblCellMar>
      </w:tblPr>
      <w:tblGrid>
        <w:gridCol w:w="1221"/>
        <w:gridCol w:w="313"/>
        <w:gridCol w:w="501"/>
        <w:gridCol w:w="411"/>
        <w:gridCol w:w="58"/>
        <w:gridCol w:w="446"/>
        <w:gridCol w:w="697"/>
        <w:gridCol w:w="616"/>
        <w:gridCol w:w="416"/>
        <w:gridCol w:w="982"/>
        <w:gridCol w:w="1037"/>
        <w:gridCol w:w="77"/>
        <w:gridCol w:w="944"/>
        <w:gridCol w:w="915"/>
        <w:gridCol w:w="7"/>
        <w:gridCol w:w="1046"/>
        <w:gridCol w:w="7"/>
        <w:gridCol w:w="71"/>
        <w:gridCol w:w="904"/>
        <w:gridCol w:w="11"/>
      </w:tblGrid>
      <w:tr>
        <w:tblPrEx>
          <w:tblLayout w:type="fixed"/>
          <w:tblCellMar>
            <w:top w:w="0" w:type="dxa"/>
            <w:left w:w="108" w:type="dxa"/>
            <w:bottom w:w="0" w:type="dxa"/>
            <w:right w:w="108" w:type="dxa"/>
          </w:tblCellMar>
        </w:tblPrEx>
        <w:trPr>
          <w:trHeight w:val="710" w:hRule="atLeast"/>
        </w:trPr>
        <w:tc>
          <w:tcPr>
            <w:tcW w:w="10680" w:type="dxa"/>
            <w:gridSpan w:val="20"/>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000000"/>
                <w:sz w:val="36"/>
                <w:szCs w:val="36"/>
              </w:rPr>
            </w:pPr>
            <w:r>
              <w:rPr>
                <w:rFonts w:ascii="微软雅黑" w:hAnsi="微软雅黑" w:eastAsia="微软雅黑" w:cs="宋体"/>
                <w:b/>
                <w:bCs/>
                <w:color w:val="000000"/>
                <w:sz w:val="36"/>
                <w:szCs w:val="36"/>
              </w:rPr>
              <w:t>2024年度二级项目绩效自评表</w:t>
            </w:r>
          </w:p>
        </w:tc>
      </w:tr>
      <w:tr>
        <w:tblPrEx>
          <w:tblLayout w:type="fixed"/>
          <w:tblCellMar>
            <w:top w:w="0" w:type="dxa"/>
            <w:left w:w="108" w:type="dxa"/>
            <w:bottom w:w="0" w:type="dxa"/>
            <w:right w:w="108" w:type="dxa"/>
          </w:tblCellMar>
        </w:tblPrEx>
        <w:trPr>
          <w:trHeight w:val="296" w:hRule="atLeast"/>
        </w:trPr>
        <w:tc>
          <w:tcPr>
            <w:tcW w:w="10680" w:type="dxa"/>
            <w:gridSpan w:val="20"/>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20" w:firstLineChars="100"/>
              <w:jc w:val="right"/>
              <w:rPr>
                <w:rFonts w:hint="default" w:cs="宋体"/>
                <w:b/>
                <w:bCs/>
                <w:color w:val="DA3232"/>
                <w:sz w:val="22"/>
                <w:szCs w:val="22"/>
              </w:rPr>
            </w:pPr>
            <w:r>
              <w:rPr>
                <w:rFonts w:cs="宋体"/>
                <w:b/>
                <w:bCs/>
                <w:color w:val="DA3232"/>
                <w:sz w:val="22"/>
                <w:szCs w:val="22"/>
              </w:rPr>
              <w:t>状态：绩效审核已审</w:t>
            </w:r>
          </w:p>
        </w:tc>
      </w:tr>
      <w:tr>
        <w:tblPrEx>
          <w:tblLayout w:type="fixed"/>
          <w:tblCellMar>
            <w:top w:w="0" w:type="dxa"/>
            <w:left w:w="108" w:type="dxa"/>
            <w:bottom w:w="0" w:type="dxa"/>
            <w:right w:w="108" w:type="dxa"/>
          </w:tblCellMar>
        </w:tblPrEx>
        <w:trPr>
          <w:trHeight w:val="296" w:hRule="atLeast"/>
        </w:trPr>
        <w:tc>
          <w:tcPr>
            <w:tcW w:w="1221" w:type="dxa"/>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项目名称：</w:t>
            </w:r>
          </w:p>
        </w:tc>
        <w:tc>
          <w:tcPr>
            <w:tcW w:w="1225" w:type="dxa"/>
            <w:gridSpan w:val="3"/>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教育费附加</w:t>
            </w:r>
          </w:p>
        </w:tc>
        <w:tc>
          <w:tcPr>
            <w:tcW w:w="1201" w:type="dxa"/>
            <w:gridSpan w:val="3"/>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项目编码：</w:t>
            </w:r>
          </w:p>
        </w:tc>
        <w:tc>
          <w:tcPr>
            <w:tcW w:w="2014" w:type="dxa"/>
            <w:gridSpan w:val="3"/>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50023124T000003969251</w:t>
            </w:r>
          </w:p>
        </w:tc>
        <w:tc>
          <w:tcPr>
            <w:tcW w:w="1037"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自评总分：</w:t>
            </w:r>
          </w:p>
        </w:tc>
        <w:tc>
          <w:tcPr>
            <w:tcW w:w="1943" w:type="dxa"/>
            <w:gridSpan w:val="4"/>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100.00</w:t>
            </w:r>
          </w:p>
        </w:tc>
        <w:tc>
          <w:tcPr>
            <w:tcW w:w="1053"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　</w:t>
            </w:r>
          </w:p>
        </w:tc>
        <w:tc>
          <w:tcPr>
            <w:tcW w:w="986" w:type="dxa"/>
            <w:gridSpan w:val="3"/>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　</w:t>
            </w:r>
          </w:p>
        </w:tc>
      </w:tr>
      <w:tr>
        <w:tblPrEx>
          <w:tblLayout w:type="fixed"/>
          <w:tblCellMar>
            <w:top w:w="0" w:type="dxa"/>
            <w:left w:w="108" w:type="dxa"/>
            <w:bottom w:w="0" w:type="dxa"/>
            <w:right w:w="108" w:type="dxa"/>
          </w:tblCellMar>
        </w:tblPrEx>
        <w:trPr>
          <w:trHeight w:val="582" w:hRule="atLeast"/>
        </w:trPr>
        <w:tc>
          <w:tcPr>
            <w:tcW w:w="1221" w:type="dxa"/>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项目主管部门：</w:t>
            </w:r>
          </w:p>
        </w:tc>
        <w:tc>
          <w:tcPr>
            <w:tcW w:w="1225" w:type="dxa"/>
            <w:gridSpan w:val="3"/>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134-垫江县教育委员会</w:t>
            </w:r>
          </w:p>
        </w:tc>
        <w:tc>
          <w:tcPr>
            <w:tcW w:w="1201" w:type="dxa"/>
            <w:gridSpan w:val="3"/>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财政归口处室：</w:t>
            </w:r>
          </w:p>
        </w:tc>
        <w:tc>
          <w:tcPr>
            <w:tcW w:w="2014" w:type="dxa"/>
            <w:gridSpan w:val="3"/>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004-行财科</w:t>
            </w:r>
          </w:p>
        </w:tc>
        <w:tc>
          <w:tcPr>
            <w:tcW w:w="1037"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部门联系人：</w:t>
            </w:r>
          </w:p>
        </w:tc>
        <w:tc>
          <w:tcPr>
            <w:tcW w:w="1943" w:type="dxa"/>
            <w:gridSpan w:val="4"/>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黄兵</w:t>
            </w:r>
          </w:p>
        </w:tc>
        <w:tc>
          <w:tcPr>
            <w:tcW w:w="1053"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联系电话：</w:t>
            </w:r>
          </w:p>
        </w:tc>
        <w:tc>
          <w:tcPr>
            <w:tcW w:w="986" w:type="dxa"/>
            <w:gridSpan w:val="3"/>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74527389</w:t>
            </w:r>
          </w:p>
        </w:tc>
      </w:tr>
      <w:tr>
        <w:tblPrEx>
          <w:tblLayout w:type="fixed"/>
          <w:tblCellMar>
            <w:top w:w="0" w:type="dxa"/>
            <w:left w:w="108" w:type="dxa"/>
            <w:bottom w:w="0" w:type="dxa"/>
            <w:right w:w="108" w:type="dxa"/>
          </w:tblCellMar>
        </w:tblPrEx>
        <w:trPr>
          <w:trHeight w:val="376" w:hRule="atLeast"/>
        </w:trPr>
        <w:tc>
          <w:tcPr>
            <w:tcW w:w="10680" w:type="dxa"/>
            <w:gridSpan w:val="20"/>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资金情况</w:t>
            </w:r>
          </w:p>
        </w:tc>
      </w:tr>
      <w:tr>
        <w:tblPrEx>
          <w:tblLayout w:type="fixed"/>
          <w:tblCellMar>
            <w:top w:w="0" w:type="dxa"/>
            <w:left w:w="108" w:type="dxa"/>
            <w:bottom w:w="0" w:type="dxa"/>
            <w:right w:w="108" w:type="dxa"/>
          </w:tblCellMar>
        </w:tblPrEx>
        <w:trPr>
          <w:gridAfter w:val="1"/>
          <w:wAfter w:w="11" w:type="dxa"/>
          <w:trHeight w:val="447" w:hRule="atLeast"/>
        </w:trPr>
        <w:tc>
          <w:tcPr>
            <w:tcW w:w="15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2113" w:type="dxa"/>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年初预算数</w:t>
            </w:r>
          </w:p>
        </w:tc>
        <w:tc>
          <w:tcPr>
            <w:tcW w:w="2014"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全年（调整）预算数</w:t>
            </w:r>
          </w:p>
        </w:tc>
        <w:tc>
          <w:tcPr>
            <w:tcW w:w="2058"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全年执行数</w:t>
            </w:r>
          </w:p>
        </w:tc>
        <w:tc>
          <w:tcPr>
            <w:tcW w:w="915"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w:t>
            </w:r>
          </w:p>
        </w:tc>
        <w:tc>
          <w:tcPr>
            <w:tcW w:w="1053" w:type="dxa"/>
            <w:gridSpan w:val="2"/>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执行率权重</w:t>
            </w:r>
          </w:p>
        </w:tc>
        <w:tc>
          <w:tcPr>
            <w:tcW w:w="982" w:type="dxa"/>
            <w:gridSpan w:val="3"/>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执行率得分</w:t>
            </w:r>
          </w:p>
        </w:tc>
      </w:tr>
      <w:tr>
        <w:tblPrEx>
          <w:tblLayout w:type="fixed"/>
          <w:tblCellMar>
            <w:top w:w="0" w:type="dxa"/>
            <w:left w:w="108" w:type="dxa"/>
            <w:bottom w:w="0" w:type="dxa"/>
            <w:right w:w="108" w:type="dxa"/>
          </w:tblCellMar>
        </w:tblPrEx>
        <w:trPr>
          <w:gridAfter w:val="1"/>
          <w:wAfter w:w="11" w:type="dxa"/>
          <w:trHeight w:val="296" w:hRule="atLeast"/>
        </w:trPr>
        <w:tc>
          <w:tcPr>
            <w:tcW w:w="1221" w:type="dxa"/>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年度总金额</w:t>
            </w:r>
          </w:p>
        </w:tc>
        <w:tc>
          <w:tcPr>
            <w:tcW w:w="313"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970" w:type="dxa"/>
            <w:gridSpan w:val="3"/>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1143"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0.00 </w:t>
            </w:r>
          </w:p>
        </w:tc>
        <w:tc>
          <w:tcPr>
            <w:tcW w:w="616" w:type="dxa"/>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1398" w:type="dxa"/>
            <w:gridSpan w:val="2"/>
            <w:tcBorders>
              <w:top w:val="nil"/>
              <w:left w:val="nil"/>
              <w:bottom w:val="single" w:color="auto" w:sz="4" w:space="0"/>
              <w:right w:val="single" w:color="auto" w:sz="4" w:space="0"/>
            </w:tcBorders>
            <w:shd w:val="clear" w:color="auto" w:fill="auto"/>
            <w:vAlign w:val="center"/>
          </w:tcPr>
          <w:p>
            <w:pPr>
              <w:jc w:val="center"/>
              <w:rPr>
                <w:rFonts w:hint="default" w:cs="宋体"/>
                <w:color w:val="000000"/>
                <w:sz w:val="22"/>
                <w:szCs w:val="22"/>
              </w:rPr>
            </w:pPr>
            <w:r>
              <w:rPr>
                <w:rFonts w:cs="宋体"/>
                <w:color w:val="000000"/>
                <w:sz w:val="22"/>
                <w:szCs w:val="22"/>
              </w:rPr>
              <w:t>788,208.80</w:t>
            </w:r>
          </w:p>
        </w:tc>
        <w:tc>
          <w:tcPr>
            <w:tcW w:w="1114" w:type="dxa"/>
            <w:gridSpan w:val="2"/>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944"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788,208.80 </w:t>
            </w:r>
          </w:p>
        </w:tc>
        <w:tc>
          <w:tcPr>
            <w:tcW w:w="915"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1053" w:type="dxa"/>
            <w:gridSpan w:val="2"/>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982" w:type="dxa"/>
            <w:gridSpan w:val="3"/>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Layout w:type="fixed"/>
          <w:tblCellMar>
            <w:top w:w="0" w:type="dxa"/>
            <w:left w:w="108" w:type="dxa"/>
            <w:bottom w:w="0" w:type="dxa"/>
            <w:right w:w="108" w:type="dxa"/>
          </w:tblCellMar>
        </w:tblPrEx>
        <w:trPr>
          <w:gridAfter w:val="1"/>
          <w:wAfter w:w="11" w:type="dxa"/>
          <w:trHeight w:val="296" w:hRule="atLeast"/>
        </w:trPr>
        <w:tc>
          <w:tcPr>
            <w:tcW w:w="1221" w:type="dxa"/>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其中：财政拨款</w:t>
            </w:r>
          </w:p>
        </w:tc>
        <w:tc>
          <w:tcPr>
            <w:tcW w:w="313"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970" w:type="dxa"/>
            <w:gridSpan w:val="3"/>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1143"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0.00 </w:t>
            </w:r>
          </w:p>
        </w:tc>
        <w:tc>
          <w:tcPr>
            <w:tcW w:w="616" w:type="dxa"/>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1398" w:type="dxa"/>
            <w:gridSpan w:val="2"/>
            <w:tcBorders>
              <w:top w:val="nil"/>
              <w:left w:val="nil"/>
              <w:bottom w:val="single" w:color="auto" w:sz="4" w:space="0"/>
              <w:right w:val="single" w:color="auto" w:sz="4" w:space="0"/>
            </w:tcBorders>
            <w:shd w:val="clear" w:color="auto" w:fill="auto"/>
            <w:vAlign w:val="center"/>
          </w:tcPr>
          <w:p>
            <w:pPr>
              <w:jc w:val="center"/>
              <w:rPr>
                <w:rFonts w:hint="default" w:cs="宋体"/>
                <w:color w:val="000000"/>
                <w:sz w:val="22"/>
                <w:szCs w:val="22"/>
              </w:rPr>
            </w:pPr>
            <w:r>
              <w:rPr>
                <w:rFonts w:cs="宋体"/>
                <w:color w:val="000000"/>
                <w:sz w:val="22"/>
                <w:szCs w:val="22"/>
              </w:rPr>
              <w:t>788,208.80</w:t>
            </w:r>
          </w:p>
        </w:tc>
        <w:tc>
          <w:tcPr>
            <w:tcW w:w="1114" w:type="dxa"/>
            <w:gridSpan w:val="2"/>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944"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788,208.80 </w:t>
            </w:r>
          </w:p>
        </w:tc>
        <w:tc>
          <w:tcPr>
            <w:tcW w:w="915"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1053" w:type="dxa"/>
            <w:gridSpan w:val="2"/>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10.00</w:t>
            </w:r>
          </w:p>
        </w:tc>
        <w:tc>
          <w:tcPr>
            <w:tcW w:w="982" w:type="dxa"/>
            <w:gridSpan w:val="3"/>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xml:space="preserve">10.00 </w:t>
            </w:r>
          </w:p>
        </w:tc>
      </w:tr>
      <w:tr>
        <w:tblPrEx>
          <w:tblLayout w:type="fixed"/>
          <w:tblCellMar>
            <w:top w:w="0" w:type="dxa"/>
            <w:left w:w="108" w:type="dxa"/>
            <w:bottom w:w="0" w:type="dxa"/>
            <w:right w:w="108" w:type="dxa"/>
          </w:tblCellMar>
        </w:tblPrEx>
        <w:trPr>
          <w:gridAfter w:val="1"/>
          <w:wAfter w:w="11" w:type="dxa"/>
          <w:trHeight w:val="296" w:hRule="atLeast"/>
        </w:trPr>
        <w:tc>
          <w:tcPr>
            <w:tcW w:w="1221" w:type="dxa"/>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一般公共预算</w:t>
            </w:r>
          </w:p>
        </w:tc>
        <w:tc>
          <w:tcPr>
            <w:tcW w:w="313"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970" w:type="dxa"/>
            <w:gridSpan w:val="3"/>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1143"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0.00 </w:t>
            </w:r>
          </w:p>
        </w:tc>
        <w:tc>
          <w:tcPr>
            <w:tcW w:w="616" w:type="dxa"/>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1398" w:type="dxa"/>
            <w:gridSpan w:val="2"/>
            <w:tcBorders>
              <w:top w:val="nil"/>
              <w:left w:val="nil"/>
              <w:bottom w:val="single" w:color="auto" w:sz="4" w:space="0"/>
              <w:right w:val="single" w:color="auto" w:sz="4" w:space="0"/>
            </w:tcBorders>
            <w:shd w:val="clear" w:color="auto" w:fill="auto"/>
            <w:vAlign w:val="center"/>
          </w:tcPr>
          <w:p>
            <w:pPr>
              <w:jc w:val="center"/>
              <w:rPr>
                <w:rFonts w:hint="default" w:cs="宋体"/>
                <w:color w:val="000000"/>
                <w:sz w:val="22"/>
                <w:szCs w:val="22"/>
              </w:rPr>
            </w:pPr>
            <w:r>
              <w:rPr>
                <w:rFonts w:cs="宋体"/>
                <w:color w:val="000000"/>
                <w:sz w:val="22"/>
                <w:szCs w:val="22"/>
              </w:rPr>
              <w:t>788,208.80</w:t>
            </w:r>
          </w:p>
        </w:tc>
        <w:tc>
          <w:tcPr>
            <w:tcW w:w="1114" w:type="dxa"/>
            <w:gridSpan w:val="2"/>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944"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788,208.80 </w:t>
            </w:r>
          </w:p>
        </w:tc>
        <w:tc>
          <w:tcPr>
            <w:tcW w:w="915"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1053" w:type="dxa"/>
            <w:gridSpan w:val="2"/>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982" w:type="dxa"/>
            <w:gridSpan w:val="3"/>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Layout w:type="fixed"/>
          <w:tblCellMar>
            <w:top w:w="0" w:type="dxa"/>
            <w:left w:w="108" w:type="dxa"/>
            <w:bottom w:w="0" w:type="dxa"/>
            <w:right w:w="108" w:type="dxa"/>
          </w:tblCellMar>
        </w:tblPrEx>
        <w:trPr>
          <w:trHeight w:val="376" w:hRule="atLeast"/>
        </w:trPr>
        <w:tc>
          <w:tcPr>
            <w:tcW w:w="10680" w:type="dxa"/>
            <w:gridSpan w:val="20"/>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绩效目标</w:t>
            </w:r>
          </w:p>
        </w:tc>
      </w:tr>
      <w:tr>
        <w:tblPrEx>
          <w:tblLayout w:type="fixed"/>
          <w:tblCellMar>
            <w:top w:w="0" w:type="dxa"/>
            <w:left w:w="108" w:type="dxa"/>
            <w:bottom w:w="0" w:type="dxa"/>
            <w:right w:w="108" w:type="dxa"/>
          </w:tblCellMar>
        </w:tblPrEx>
        <w:trPr>
          <w:gridAfter w:val="1"/>
          <w:wAfter w:w="11" w:type="dxa"/>
          <w:trHeight w:val="296" w:hRule="atLeast"/>
        </w:trPr>
        <w:tc>
          <w:tcPr>
            <w:tcW w:w="3647"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年初绩效目标</w:t>
            </w:r>
          </w:p>
        </w:tc>
        <w:tc>
          <w:tcPr>
            <w:tcW w:w="4072" w:type="dxa"/>
            <w:gridSpan w:val="6"/>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全年（调整）绩效目标</w:t>
            </w:r>
          </w:p>
        </w:tc>
        <w:tc>
          <w:tcPr>
            <w:tcW w:w="2950" w:type="dxa"/>
            <w:gridSpan w:val="6"/>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全年目标实际完成情况</w:t>
            </w:r>
          </w:p>
        </w:tc>
      </w:tr>
      <w:tr>
        <w:tblPrEx>
          <w:tblLayout w:type="fixed"/>
          <w:tblCellMar>
            <w:top w:w="0" w:type="dxa"/>
            <w:left w:w="108" w:type="dxa"/>
            <w:bottom w:w="0" w:type="dxa"/>
            <w:right w:w="108" w:type="dxa"/>
          </w:tblCellMar>
        </w:tblPrEx>
        <w:trPr>
          <w:gridAfter w:val="1"/>
          <w:wAfter w:w="11" w:type="dxa"/>
          <w:trHeight w:val="296" w:hRule="atLeast"/>
        </w:trPr>
        <w:tc>
          <w:tcPr>
            <w:tcW w:w="364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办好2024全年国家教育考试。</w:t>
            </w:r>
          </w:p>
        </w:tc>
        <w:tc>
          <w:tcPr>
            <w:tcW w:w="4072" w:type="dxa"/>
            <w:gridSpan w:val="6"/>
            <w:tcBorders>
              <w:top w:val="single" w:color="auto" w:sz="4" w:space="0"/>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办好2024全年国家教育考试。</w:t>
            </w:r>
          </w:p>
        </w:tc>
        <w:tc>
          <w:tcPr>
            <w:tcW w:w="2950" w:type="dxa"/>
            <w:gridSpan w:val="6"/>
            <w:tcBorders>
              <w:top w:val="single" w:color="auto" w:sz="4" w:space="0"/>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全部完成</w:t>
            </w:r>
          </w:p>
        </w:tc>
      </w:tr>
      <w:tr>
        <w:tblPrEx>
          <w:tblLayout w:type="fixed"/>
          <w:tblCellMar>
            <w:top w:w="0" w:type="dxa"/>
            <w:left w:w="108" w:type="dxa"/>
            <w:bottom w:w="0" w:type="dxa"/>
            <w:right w:w="108" w:type="dxa"/>
          </w:tblCellMar>
        </w:tblPrEx>
        <w:trPr>
          <w:trHeight w:val="376" w:hRule="atLeast"/>
        </w:trPr>
        <w:tc>
          <w:tcPr>
            <w:tcW w:w="10680" w:type="dxa"/>
            <w:gridSpan w:val="20"/>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绩效指标</w:t>
            </w:r>
          </w:p>
        </w:tc>
      </w:tr>
      <w:tr>
        <w:tblPrEx>
          <w:tblLayout w:type="fixed"/>
          <w:tblCellMar>
            <w:top w:w="0" w:type="dxa"/>
            <w:left w:w="108" w:type="dxa"/>
            <w:bottom w:w="0" w:type="dxa"/>
            <w:right w:w="108" w:type="dxa"/>
          </w:tblCellMar>
        </w:tblPrEx>
        <w:trPr>
          <w:gridAfter w:val="1"/>
          <w:wAfter w:w="11" w:type="dxa"/>
          <w:trHeight w:val="296" w:hRule="atLeast"/>
        </w:trPr>
        <w:tc>
          <w:tcPr>
            <w:tcW w:w="1221"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指标名称</w:t>
            </w:r>
          </w:p>
        </w:tc>
        <w:tc>
          <w:tcPr>
            <w:tcW w:w="814"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计量单位</w:t>
            </w:r>
          </w:p>
        </w:tc>
        <w:tc>
          <w:tcPr>
            <w:tcW w:w="915" w:type="dxa"/>
            <w:gridSpan w:val="3"/>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指标性质</w:t>
            </w:r>
          </w:p>
        </w:tc>
        <w:tc>
          <w:tcPr>
            <w:tcW w:w="697"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指标值</w:t>
            </w:r>
          </w:p>
        </w:tc>
        <w:tc>
          <w:tcPr>
            <w:tcW w:w="1032"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全年完成值</w:t>
            </w:r>
          </w:p>
        </w:tc>
        <w:tc>
          <w:tcPr>
            <w:tcW w:w="982"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偏离度（%）</w:t>
            </w:r>
          </w:p>
        </w:tc>
        <w:tc>
          <w:tcPr>
            <w:tcW w:w="1114"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得分系数（%）</w:t>
            </w:r>
          </w:p>
        </w:tc>
        <w:tc>
          <w:tcPr>
            <w:tcW w:w="944"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指标权重</w:t>
            </w:r>
          </w:p>
        </w:tc>
        <w:tc>
          <w:tcPr>
            <w:tcW w:w="915"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指标得分</w:t>
            </w:r>
          </w:p>
        </w:tc>
        <w:tc>
          <w:tcPr>
            <w:tcW w:w="1131" w:type="dxa"/>
            <w:gridSpan w:val="4"/>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是否核心指标</w:t>
            </w:r>
          </w:p>
        </w:tc>
        <w:tc>
          <w:tcPr>
            <w:tcW w:w="904"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说明</w:t>
            </w:r>
          </w:p>
        </w:tc>
      </w:tr>
      <w:tr>
        <w:tblPrEx>
          <w:tblLayout w:type="fixed"/>
          <w:tblCellMar>
            <w:top w:w="0" w:type="dxa"/>
            <w:left w:w="108" w:type="dxa"/>
            <w:bottom w:w="0" w:type="dxa"/>
            <w:right w:w="108" w:type="dxa"/>
          </w:tblCellMar>
        </w:tblPrEx>
        <w:trPr>
          <w:gridAfter w:val="1"/>
          <w:wAfter w:w="11" w:type="dxa"/>
          <w:trHeight w:val="582" w:hRule="atLeast"/>
        </w:trPr>
        <w:tc>
          <w:tcPr>
            <w:tcW w:w="1221"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全年共组织考试次数</w:t>
            </w:r>
          </w:p>
        </w:tc>
        <w:tc>
          <w:tcPr>
            <w:tcW w:w="814"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次</w:t>
            </w:r>
          </w:p>
        </w:tc>
        <w:tc>
          <w:tcPr>
            <w:tcW w:w="915" w:type="dxa"/>
            <w:gridSpan w:val="3"/>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697"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12</w:t>
            </w:r>
          </w:p>
        </w:tc>
        <w:tc>
          <w:tcPr>
            <w:tcW w:w="1032"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12</w:t>
            </w:r>
          </w:p>
        </w:tc>
        <w:tc>
          <w:tcPr>
            <w:tcW w:w="982"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1114"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944"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15</w:t>
            </w:r>
          </w:p>
        </w:tc>
        <w:tc>
          <w:tcPr>
            <w:tcW w:w="915"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15</w:t>
            </w:r>
          </w:p>
        </w:tc>
        <w:tc>
          <w:tcPr>
            <w:tcW w:w="1131" w:type="dxa"/>
            <w:gridSpan w:val="4"/>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否</w:t>
            </w:r>
          </w:p>
        </w:tc>
        <w:tc>
          <w:tcPr>
            <w:tcW w:w="904" w:type="dxa"/>
            <w:tcBorders>
              <w:top w:val="nil"/>
              <w:left w:val="nil"/>
              <w:bottom w:val="single" w:color="auto" w:sz="4" w:space="0"/>
              <w:right w:val="single" w:color="auto" w:sz="4" w:space="0"/>
            </w:tcBorders>
            <w:shd w:val="clear" w:color="auto" w:fill="auto"/>
            <w:noWrap/>
            <w:vAlign w:val="center"/>
          </w:tcPr>
          <w:p>
            <w:pPr>
              <w:ind w:firstLine="220" w:firstLineChars="100"/>
              <w:jc w:val="center"/>
              <w:rPr>
                <w:rFonts w:hint="default" w:cs="宋体"/>
                <w:color w:val="000000"/>
                <w:sz w:val="22"/>
                <w:szCs w:val="22"/>
              </w:rPr>
            </w:pPr>
          </w:p>
        </w:tc>
      </w:tr>
      <w:tr>
        <w:tblPrEx>
          <w:tblLayout w:type="fixed"/>
          <w:tblCellMar>
            <w:top w:w="0" w:type="dxa"/>
            <w:left w:w="108" w:type="dxa"/>
            <w:bottom w:w="0" w:type="dxa"/>
            <w:right w:w="108" w:type="dxa"/>
          </w:tblCellMar>
        </w:tblPrEx>
        <w:trPr>
          <w:gridAfter w:val="1"/>
          <w:wAfter w:w="11" w:type="dxa"/>
          <w:trHeight w:val="582" w:hRule="atLeast"/>
        </w:trPr>
        <w:tc>
          <w:tcPr>
            <w:tcW w:w="1221"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考试平安顺利完成率</w:t>
            </w:r>
          </w:p>
        </w:tc>
        <w:tc>
          <w:tcPr>
            <w:tcW w:w="814"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915" w:type="dxa"/>
            <w:gridSpan w:val="3"/>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697"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1032"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982"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1114"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944"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15</w:t>
            </w:r>
          </w:p>
        </w:tc>
        <w:tc>
          <w:tcPr>
            <w:tcW w:w="915"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15</w:t>
            </w:r>
          </w:p>
        </w:tc>
        <w:tc>
          <w:tcPr>
            <w:tcW w:w="1131" w:type="dxa"/>
            <w:gridSpan w:val="4"/>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否</w:t>
            </w:r>
          </w:p>
        </w:tc>
        <w:tc>
          <w:tcPr>
            <w:tcW w:w="904" w:type="dxa"/>
            <w:tcBorders>
              <w:top w:val="nil"/>
              <w:left w:val="nil"/>
              <w:bottom w:val="single" w:color="auto" w:sz="4" w:space="0"/>
              <w:right w:val="single" w:color="auto" w:sz="4" w:space="0"/>
            </w:tcBorders>
            <w:shd w:val="clear" w:color="auto" w:fill="auto"/>
            <w:noWrap/>
            <w:vAlign w:val="center"/>
          </w:tcPr>
          <w:p>
            <w:pPr>
              <w:ind w:firstLine="220" w:firstLineChars="100"/>
              <w:jc w:val="center"/>
              <w:rPr>
                <w:rFonts w:hint="default" w:cs="宋体"/>
                <w:color w:val="000000"/>
                <w:sz w:val="22"/>
                <w:szCs w:val="22"/>
              </w:rPr>
            </w:pPr>
          </w:p>
        </w:tc>
      </w:tr>
      <w:tr>
        <w:tblPrEx>
          <w:tblLayout w:type="fixed"/>
          <w:tblCellMar>
            <w:top w:w="0" w:type="dxa"/>
            <w:left w:w="108" w:type="dxa"/>
            <w:bottom w:w="0" w:type="dxa"/>
            <w:right w:w="108" w:type="dxa"/>
          </w:tblCellMar>
        </w:tblPrEx>
        <w:trPr>
          <w:gridAfter w:val="1"/>
          <w:wAfter w:w="11" w:type="dxa"/>
          <w:trHeight w:val="447" w:hRule="atLeast"/>
        </w:trPr>
        <w:tc>
          <w:tcPr>
            <w:tcW w:w="1221"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项目实施周期</w:t>
            </w:r>
          </w:p>
        </w:tc>
        <w:tc>
          <w:tcPr>
            <w:tcW w:w="814"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年</w:t>
            </w:r>
          </w:p>
        </w:tc>
        <w:tc>
          <w:tcPr>
            <w:tcW w:w="915" w:type="dxa"/>
            <w:gridSpan w:val="3"/>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697"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w:t>
            </w:r>
          </w:p>
        </w:tc>
        <w:tc>
          <w:tcPr>
            <w:tcW w:w="1032"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w:t>
            </w:r>
          </w:p>
        </w:tc>
        <w:tc>
          <w:tcPr>
            <w:tcW w:w="982"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1114"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944"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915"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1131" w:type="dxa"/>
            <w:gridSpan w:val="4"/>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否</w:t>
            </w:r>
          </w:p>
        </w:tc>
        <w:tc>
          <w:tcPr>
            <w:tcW w:w="904" w:type="dxa"/>
            <w:tcBorders>
              <w:top w:val="nil"/>
              <w:left w:val="nil"/>
              <w:bottom w:val="single" w:color="auto" w:sz="4" w:space="0"/>
              <w:right w:val="single" w:color="auto" w:sz="4" w:space="0"/>
            </w:tcBorders>
            <w:shd w:val="clear" w:color="auto" w:fill="auto"/>
            <w:noWrap/>
            <w:vAlign w:val="center"/>
          </w:tcPr>
          <w:p>
            <w:pPr>
              <w:ind w:firstLine="220" w:firstLineChars="100"/>
              <w:jc w:val="center"/>
              <w:rPr>
                <w:rFonts w:hint="default" w:cs="宋体"/>
                <w:color w:val="000000"/>
                <w:sz w:val="22"/>
                <w:szCs w:val="22"/>
              </w:rPr>
            </w:pPr>
          </w:p>
        </w:tc>
      </w:tr>
      <w:tr>
        <w:tblPrEx>
          <w:tblLayout w:type="fixed"/>
          <w:tblCellMar>
            <w:top w:w="0" w:type="dxa"/>
            <w:left w:w="108" w:type="dxa"/>
            <w:bottom w:w="0" w:type="dxa"/>
            <w:right w:w="108" w:type="dxa"/>
          </w:tblCellMar>
        </w:tblPrEx>
        <w:trPr>
          <w:gridAfter w:val="1"/>
          <w:wAfter w:w="11" w:type="dxa"/>
          <w:trHeight w:val="582" w:hRule="atLeast"/>
        </w:trPr>
        <w:tc>
          <w:tcPr>
            <w:tcW w:w="1221"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平均每次组织考试费用</w:t>
            </w:r>
          </w:p>
        </w:tc>
        <w:tc>
          <w:tcPr>
            <w:tcW w:w="814"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元</w:t>
            </w:r>
          </w:p>
        </w:tc>
        <w:tc>
          <w:tcPr>
            <w:tcW w:w="915" w:type="dxa"/>
            <w:gridSpan w:val="3"/>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697"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70000</w:t>
            </w:r>
          </w:p>
        </w:tc>
        <w:tc>
          <w:tcPr>
            <w:tcW w:w="1032"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70000</w:t>
            </w:r>
          </w:p>
        </w:tc>
        <w:tc>
          <w:tcPr>
            <w:tcW w:w="982"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1114"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944"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915"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1131" w:type="dxa"/>
            <w:gridSpan w:val="4"/>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否</w:t>
            </w:r>
          </w:p>
        </w:tc>
        <w:tc>
          <w:tcPr>
            <w:tcW w:w="904" w:type="dxa"/>
            <w:tcBorders>
              <w:top w:val="nil"/>
              <w:left w:val="nil"/>
              <w:bottom w:val="single" w:color="auto" w:sz="4" w:space="0"/>
              <w:right w:val="single" w:color="auto" w:sz="4" w:space="0"/>
            </w:tcBorders>
            <w:shd w:val="clear" w:color="auto" w:fill="auto"/>
            <w:noWrap/>
            <w:vAlign w:val="center"/>
          </w:tcPr>
          <w:p>
            <w:pPr>
              <w:ind w:firstLine="220" w:firstLineChars="100"/>
              <w:jc w:val="center"/>
              <w:rPr>
                <w:rFonts w:hint="default" w:cs="宋体"/>
                <w:color w:val="000000"/>
                <w:sz w:val="22"/>
                <w:szCs w:val="22"/>
              </w:rPr>
            </w:pPr>
          </w:p>
        </w:tc>
      </w:tr>
      <w:tr>
        <w:tblPrEx>
          <w:tblLayout w:type="fixed"/>
          <w:tblCellMar>
            <w:top w:w="0" w:type="dxa"/>
            <w:left w:w="108" w:type="dxa"/>
            <w:bottom w:w="0" w:type="dxa"/>
            <w:right w:w="108" w:type="dxa"/>
          </w:tblCellMar>
        </w:tblPrEx>
        <w:trPr>
          <w:gridAfter w:val="1"/>
          <w:wAfter w:w="11" w:type="dxa"/>
          <w:trHeight w:val="582" w:hRule="atLeast"/>
        </w:trPr>
        <w:tc>
          <w:tcPr>
            <w:tcW w:w="1221"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高效完成各级各类考试</w:t>
            </w:r>
          </w:p>
        </w:tc>
        <w:tc>
          <w:tcPr>
            <w:tcW w:w="814"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p>
        </w:tc>
        <w:tc>
          <w:tcPr>
            <w:tcW w:w="915" w:type="dxa"/>
            <w:gridSpan w:val="3"/>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定性</w:t>
            </w:r>
          </w:p>
        </w:tc>
        <w:tc>
          <w:tcPr>
            <w:tcW w:w="697"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好</w:t>
            </w:r>
          </w:p>
        </w:tc>
        <w:tc>
          <w:tcPr>
            <w:tcW w:w="1032"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w:t>
            </w:r>
          </w:p>
        </w:tc>
        <w:tc>
          <w:tcPr>
            <w:tcW w:w="982"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1114"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944"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30</w:t>
            </w:r>
          </w:p>
        </w:tc>
        <w:tc>
          <w:tcPr>
            <w:tcW w:w="915"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30</w:t>
            </w:r>
          </w:p>
        </w:tc>
        <w:tc>
          <w:tcPr>
            <w:tcW w:w="1131" w:type="dxa"/>
            <w:gridSpan w:val="4"/>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是</w:t>
            </w:r>
          </w:p>
        </w:tc>
        <w:tc>
          <w:tcPr>
            <w:tcW w:w="904" w:type="dxa"/>
            <w:tcBorders>
              <w:top w:val="nil"/>
              <w:left w:val="nil"/>
              <w:bottom w:val="single" w:color="auto" w:sz="4" w:space="0"/>
              <w:right w:val="single" w:color="auto" w:sz="4" w:space="0"/>
            </w:tcBorders>
            <w:shd w:val="clear" w:color="auto" w:fill="auto"/>
            <w:noWrap/>
            <w:vAlign w:val="center"/>
          </w:tcPr>
          <w:p>
            <w:pPr>
              <w:ind w:firstLine="220" w:firstLineChars="100"/>
              <w:jc w:val="center"/>
              <w:rPr>
                <w:rFonts w:hint="default" w:cs="宋体"/>
                <w:color w:val="000000"/>
                <w:sz w:val="22"/>
                <w:szCs w:val="22"/>
              </w:rPr>
            </w:pPr>
          </w:p>
        </w:tc>
      </w:tr>
      <w:tr>
        <w:tblPrEx>
          <w:tblLayout w:type="fixed"/>
          <w:tblCellMar>
            <w:top w:w="0" w:type="dxa"/>
            <w:left w:w="108" w:type="dxa"/>
            <w:bottom w:w="0" w:type="dxa"/>
            <w:right w:w="108" w:type="dxa"/>
          </w:tblCellMar>
        </w:tblPrEx>
        <w:trPr>
          <w:gridAfter w:val="1"/>
          <w:wAfter w:w="11" w:type="dxa"/>
          <w:trHeight w:val="456" w:hRule="atLeast"/>
        </w:trPr>
        <w:tc>
          <w:tcPr>
            <w:tcW w:w="1221"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考生满意率</w:t>
            </w:r>
          </w:p>
        </w:tc>
        <w:tc>
          <w:tcPr>
            <w:tcW w:w="814"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915" w:type="dxa"/>
            <w:gridSpan w:val="3"/>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697"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95</w:t>
            </w:r>
          </w:p>
        </w:tc>
        <w:tc>
          <w:tcPr>
            <w:tcW w:w="1032"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95</w:t>
            </w:r>
          </w:p>
        </w:tc>
        <w:tc>
          <w:tcPr>
            <w:tcW w:w="982"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1114"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944"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915"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1131" w:type="dxa"/>
            <w:gridSpan w:val="4"/>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否</w:t>
            </w:r>
          </w:p>
        </w:tc>
        <w:tc>
          <w:tcPr>
            <w:tcW w:w="904" w:type="dxa"/>
            <w:tcBorders>
              <w:top w:val="nil"/>
              <w:left w:val="nil"/>
              <w:bottom w:val="single" w:color="auto" w:sz="4" w:space="0"/>
              <w:right w:val="single" w:color="auto" w:sz="4" w:space="0"/>
            </w:tcBorders>
            <w:shd w:val="clear" w:color="auto" w:fill="auto"/>
            <w:noWrap/>
            <w:vAlign w:val="center"/>
          </w:tcPr>
          <w:p>
            <w:pPr>
              <w:ind w:firstLine="220" w:firstLineChars="100"/>
              <w:jc w:val="center"/>
              <w:rPr>
                <w:rFonts w:hint="default" w:cs="宋体"/>
                <w:color w:val="000000"/>
                <w:sz w:val="22"/>
                <w:szCs w:val="22"/>
              </w:rPr>
            </w:pPr>
          </w:p>
        </w:tc>
      </w:tr>
    </w:tbl>
    <w:p>
      <w:pPr>
        <w:pStyle w:val="6"/>
        <w:spacing w:before="0" w:beforeAutospacing="0" w:after="0" w:afterAutospacing="0"/>
        <w:rPr>
          <w:rFonts w:hint="default" w:ascii="方正仿宋_GBK" w:eastAsia="方正仿宋_GBK"/>
          <w:sz w:val="10"/>
          <w:szCs w:val="10"/>
        </w:rPr>
      </w:pPr>
    </w:p>
    <w:p>
      <w:pPr>
        <w:pStyle w:val="6"/>
        <w:spacing w:before="0" w:beforeAutospacing="0" w:after="0" w:afterAutospacing="0"/>
        <w:ind w:firstLine="200" w:firstLineChars="200"/>
        <w:rPr>
          <w:rFonts w:hint="default" w:ascii="方正仿宋_GBK" w:eastAsia="方正仿宋_GBK"/>
          <w:sz w:val="10"/>
          <w:szCs w:val="10"/>
        </w:rPr>
        <w:sectPr>
          <w:pgSz w:w="11915" w:h="16840"/>
          <w:pgMar w:top="1440" w:right="1135" w:bottom="1440" w:left="993" w:header="851" w:footer="992" w:gutter="0"/>
          <w:pgNumType w:fmt="numberInDash"/>
          <w:cols w:space="720" w:num="1"/>
          <w:docGrid w:type="linesAndChars" w:linePitch="312" w:charSpace="0"/>
        </w:sectPr>
      </w:pP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4"/>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1"/>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县</w:t>
      </w:r>
      <w:r>
        <w:rPr>
          <w:rFonts w:hint="eastAsia" w:ascii="方正仿宋_GBK" w:hAnsi="方正仿宋_GBK" w:eastAsia="方正仿宋_GBK" w:cs="方正仿宋_GBK"/>
          <w:sz w:val="32"/>
          <w:szCs w:val="32"/>
          <w:shd w:val="clear" w:color="auto" w:fill="FFFFFF"/>
        </w:rPr>
        <w:t>财政局未委托第三方对我单位开展绩效评价</w:t>
      </w:r>
    </w:p>
    <w:p>
      <w:pPr>
        <w:pStyle w:val="6"/>
        <w:shd w:val="clear" w:color="auto" w:fill="FFFFFF"/>
        <w:spacing w:before="0" w:beforeAutospacing="0" w:after="0" w:afterAutospacing="0"/>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六、专业名词解释</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w:t>
      </w:r>
      <w:bookmarkStart w:id="0" w:name="_GoBack"/>
      <w:bookmarkEnd w:id="0"/>
      <w:r>
        <w:rPr>
          <w:rFonts w:ascii="方正仿宋_GBK" w:hAnsi="方正仿宋_GBK" w:eastAsia="方正仿宋_GBK" w:cs="方正仿宋_GBK"/>
          <w:sz w:val="32"/>
          <w:szCs w:val="32"/>
          <w:shd w:val="clear" w:color="auto" w:fill="FFFFFF"/>
        </w:rPr>
        <w:t>“事业收入”“经营收入”“其他收入”等不足以安排当年支出的情况下，使用以前年度积累的非财政拨款结余弥补本年度收支缺口的资金。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spacing w:before="0" w:beforeAutospacing="0" w:after="0" w:afterAutospacing="0"/>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pPr>
        <w:pStyle w:val="6"/>
        <w:snapToGrid w:val="0"/>
        <w:spacing w:before="0" w:beforeAutospacing="0" w:after="0" w:afterAutospacing="0" w:line="600" w:lineRule="exact"/>
        <w:ind w:firstLine="640" w:firstLineChars="200"/>
        <w:jc w:val="both"/>
        <w:rPr>
          <w:rStyle w:val="10"/>
          <w:rFonts w:hint="default" w:ascii="方正仿宋_GBK" w:hAnsi="方正仿宋_GBK" w:eastAsia="方正仿宋_GBK" w:cs="方正仿宋_GBK"/>
          <w:sz w:val="32"/>
          <w:szCs w:val="32"/>
          <w:shd w:val="clear" w:color="auto" w:fill="FFFF00"/>
        </w:rPr>
        <w:sectPr>
          <w:pgSz w:w="11915" w:h="16840"/>
          <w:pgMar w:top="1440" w:right="1797" w:bottom="1440" w:left="1797"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本单位决算公开信息反馈和联系方式：张老师74669363</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6" w:lineRule="exact"/>
        <w:ind w:left="0" w:leftChars="0" w:firstLine="0" w:firstLineChars="0"/>
        <w:jc w:val="both"/>
        <w:textAlignment w:val="auto"/>
        <w:rPr>
          <w:rStyle w:val="10"/>
          <w:rFonts w:ascii="方正仿宋_GBK" w:hAnsi="方正仿宋_GBK" w:eastAsia="方正仿宋_GBK" w:cs="方正仿宋_GBK"/>
          <w:sz w:val="32"/>
          <w:szCs w:val="32"/>
          <w:shd w:val="clear" w:color="auto" w:fill="FFFF00"/>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垫江县教育考试院</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262.86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298.29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528.29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561.15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582.68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582.68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582.68</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垫江县教育考试院</w:t>
            </w: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561.15</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262.86</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298.29</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298.29</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506.75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208.46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298.29</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298.29</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427.64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129.35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298.29</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298.29</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427.64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129.35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298.29</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298.29</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教育费附加安排的支出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2050999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其他教育费附加安排的支出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78.82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78.82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垫江县教育考试院 </w:t>
            </w: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582.68</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503.86</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78.82</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528.29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449.47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78.82</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449.17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449.17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449.17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449.17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教育费附加安排的支出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78.82</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2050999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其他教育费附加安排的支出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78.82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78.82</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6.13</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垫江县教育考试院</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262.86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262.86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262.86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262.86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262.86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262.86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262.86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垫江县教育考试院</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262.86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184.04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78.82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208.46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129.64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78.82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129.35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129.35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129.35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129.35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教育费附加安排的支出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78.82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78.82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2050999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其他教育费附加安排的支出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78.82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78.82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40.91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40.91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40.91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40.91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垫江县教育考试院</w:t>
            </w: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145.23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36.48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69.57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164.83</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19.21</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垫江县教育考试院</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垫江县教育考试院</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垫江县教育考试院</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script"/>
    <w:pitch w:val="default"/>
    <w:sig w:usb0="00000000" w:usb1="00000000" w:usb2="00000000" w:usb3="00000000" w:csb0="00000000" w:csb1="00000000"/>
  </w:font>
  <w:font w:name="方正仿宋_GBK">
    <w:altName w:val="Arial Unicode MS"/>
    <w:panose1 w:val="02000000000000000000"/>
    <w:charset w:val="86"/>
    <w:family w:val="script"/>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1033" o:spid="_x0000_s103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- 12 -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4E37FCC"/>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2E45B2"/>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3225C2"/>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263FEF"/>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2632A6"/>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7F1137D"/>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7F8C5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33"/>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8106</Words>
  <Characters>10173</Characters>
  <Lines>186</Lines>
  <Paragraphs>52</Paragraphs>
  <TotalTime>4</TotalTime>
  <ScaleCrop>false</ScaleCrop>
  <LinksUpToDate>false</LinksUpToDate>
  <CharactersWithSpaces>10552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2025-09-22T07:02:21Z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