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垫江县杠家小学校</w:t>
      </w: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ind w:firstLine="640" w:firstLineChars="200"/>
        <w:rPr>
          <w:rFonts w:ascii="方正黑体_GBK" w:eastAsia="方正黑体_GBK"/>
          <w:sz w:val="32"/>
          <w:szCs w:val="32"/>
        </w:rPr>
      </w:pP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一、单位基本情况</w:t>
      </w:r>
    </w:p>
    <w:p>
      <w:pPr>
        <w:spacing w:line="576" w:lineRule="exact"/>
        <w:ind w:firstLine="643" w:firstLineChars="200"/>
        <w:rPr>
          <w:rFonts w:hint="default" w:ascii="方正楷体_GBK" w:eastAsia="方正楷体_GBK"/>
          <w:b/>
          <w:sz w:val="32"/>
          <w:szCs w:val="32"/>
        </w:rPr>
      </w:pPr>
      <w:r>
        <w:rPr>
          <w:rFonts w:ascii="楷体" w:hAnsi="楷体" w:eastAsia="楷体" w:cs="楷体"/>
          <w:b/>
          <w:bCs/>
          <w:sz w:val="32"/>
          <w:szCs w:val="32"/>
          <w:shd w:val="clear" w:color="auto" w:fill="FFFFFF"/>
        </w:rPr>
        <w:t>（一）</w:t>
      </w:r>
      <w:r>
        <w:rPr>
          <w:rFonts w:ascii="方正楷体_GBK" w:eastAsia="方正楷体_GBK"/>
          <w:b/>
          <w:sz w:val="32"/>
          <w:szCs w:val="32"/>
        </w:rPr>
        <w:t>职能职责</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1、负责适龄儿童、青少年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负责落实其他工作。协助所在乡镇人民政府做好适龄青少年依法接受义务教育的工作。</w:t>
      </w:r>
    </w:p>
    <w:p>
      <w:pPr>
        <w:spacing w:line="576" w:lineRule="exact"/>
        <w:ind w:firstLine="643" w:firstLineChars="200"/>
        <w:rPr>
          <w:rFonts w:hint="default" w:ascii="方正仿宋_GBK" w:eastAsia="方正仿宋_GBK"/>
          <w:sz w:val="32"/>
          <w:szCs w:val="32"/>
        </w:rPr>
      </w:pPr>
      <w:r>
        <w:rPr>
          <w:rFonts w:ascii="楷体" w:hAnsi="楷体" w:eastAsia="楷体" w:cs="楷体"/>
          <w:b/>
          <w:bCs/>
          <w:sz w:val="32"/>
          <w:szCs w:val="32"/>
          <w:shd w:val="clear" w:color="auto" w:fill="FFFFFF"/>
        </w:rPr>
        <w:t>（二）</w:t>
      </w:r>
      <w:r>
        <w:rPr>
          <w:rFonts w:ascii="方正楷体_GBK" w:eastAsia="方正楷体_GBK"/>
          <w:b/>
          <w:sz w:val="32"/>
          <w:szCs w:val="32"/>
        </w:rPr>
        <w:t>机构设置</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单位领导职数3名，其中：校长1名、副校长2名；内设机构领导职数4名，内设机构有德育处、教务处、教科处、后勤处。</w:t>
      </w:r>
    </w:p>
    <w:p>
      <w:pPr>
        <w:spacing w:line="576" w:lineRule="exact"/>
        <w:ind w:firstLine="643" w:firstLineChars="200"/>
        <w:rPr>
          <w:rFonts w:hint="default" w:ascii="方正仿宋_GBK" w:eastAsia="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576" w:lineRule="exact"/>
        <w:ind w:firstLine="643" w:firstLineChars="200"/>
        <w:rPr>
          <w:rFonts w:ascii="方正楷体_GBK" w:eastAsia="方正楷体_GBK"/>
          <w:b/>
          <w:sz w:val="32"/>
          <w:szCs w:val="32"/>
        </w:rPr>
      </w:pPr>
      <w:r>
        <w:rPr>
          <w:rFonts w:ascii="楷体" w:hAnsi="楷体" w:eastAsia="楷体" w:cs="楷体"/>
          <w:b/>
          <w:bCs/>
          <w:sz w:val="32"/>
          <w:szCs w:val="32"/>
          <w:shd w:val="clear" w:color="auto" w:fill="FFFFFF"/>
        </w:rPr>
        <w:t>（一）</w:t>
      </w:r>
      <w:r>
        <w:rPr>
          <w:rFonts w:ascii="方正楷体_GBK" w:eastAsia="方正楷体_GBK"/>
          <w:b/>
          <w:sz w:val="32"/>
          <w:szCs w:val="32"/>
        </w:rPr>
        <w:t>收入支出决算总体情况说明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2024年度收入总计1340.76万元，支出总计</w:t>
      </w:r>
      <w:r>
        <w:rPr>
          <w:rFonts w:ascii="方正仿宋_GBK" w:hAnsi="方正仿宋_GBK" w:eastAsia="方正仿宋_GBK" w:cs="方正仿宋_GBK"/>
          <w:sz w:val="32"/>
          <w:szCs w:val="32"/>
        </w:rPr>
        <w:t>1340.76</w:t>
      </w:r>
      <w:r>
        <w:rPr>
          <w:rFonts w:ascii="方正仿宋_GBK" w:hAnsi="方正仿宋_GBK" w:eastAsia="方正仿宋_GBK" w:cs="方正仿宋_GBK"/>
          <w:sz w:val="32"/>
          <w:szCs w:val="32"/>
          <w:shd w:val="clear" w:color="auto" w:fill="FFFFFF"/>
        </w:rPr>
        <w:t>万元。收、支与2023年度相比，减少47.98万元，下降3.45%，主要原因是教师减少，学生减少，收入支出相应减少。</w:t>
      </w:r>
    </w:p>
    <w:p>
      <w:pPr>
        <w:spacing w:line="576" w:lineRule="exact"/>
        <w:ind w:firstLine="640" w:firstLineChars="200"/>
        <w:rPr>
          <w:rFonts w:hint="default" w:ascii="方正仿宋_GBK" w:hAnsi="方正仿宋_GBK" w:eastAsia="方正仿宋_GBK" w:cs="方正仿宋_GBK"/>
          <w:sz w:val="32"/>
          <w:szCs w:val="32"/>
        </w:rPr>
      </w:pP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2024年度收入合计1336.22万元，与2023年度相比，减少14.48万元，下降1.07%，主要原因是教师减少，学生减少，收入相应减少。其中：财政拨款收入</w:t>
      </w:r>
      <w:r>
        <w:rPr>
          <w:rFonts w:ascii="方正仿宋_GBK" w:hAnsi="方正仿宋_GBK" w:eastAsia="方正仿宋_GBK" w:cs="方正仿宋_GBK"/>
          <w:sz w:val="32"/>
          <w:szCs w:val="32"/>
        </w:rPr>
        <w:t>1302.2</w:t>
      </w:r>
      <w:r>
        <w:rPr>
          <w:rFonts w:hint="eastAsia" w:ascii="方正仿宋_GBK" w:hAnsi="方正仿宋_GBK" w:eastAsia="方正仿宋_GBK" w:cs="方正仿宋_GBK"/>
          <w:sz w:val="32"/>
          <w:szCs w:val="32"/>
          <w:lang w:val="en-US" w:eastAsia="zh-CN"/>
        </w:rPr>
        <w:t>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97.46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18.34</w:t>
      </w:r>
      <w:r>
        <w:rPr>
          <w:rFonts w:ascii="方正仿宋_GBK" w:hAnsi="方正仿宋_GBK" w:eastAsia="方正仿宋_GBK" w:cs="方正仿宋_GBK"/>
          <w:sz w:val="32"/>
          <w:szCs w:val="32"/>
          <w:shd w:val="clear" w:color="auto" w:fill="FFFFFF"/>
        </w:rPr>
        <w:t>万元，占1.37%；经营收入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15.61</w:t>
      </w:r>
      <w:r>
        <w:rPr>
          <w:rFonts w:ascii="方正仿宋_GBK" w:hAnsi="方正仿宋_GBK" w:eastAsia="方正仿宋_GBK" w:cs="方正仿宋_GBK"/>
          <w:sz w:val="32"/>
          <w:szCs w:val="32"/>
          <w:shd w:val="clear" w:color="auto" w:fill="FFFFFF"/>
        </w:rPr>
        <w:t>万元，占1.17%。此外，使用非财政拨款结余和专用结余</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万元。</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1340.26</w:t>
      </w:r>
      <w:r>
        <w:rPr>
          <w:rFonts w:ascii="方正仿宋_GBK" w:hAnsi="方正仿宋_GBK" w:eastAsia="方正仿宋_GBK" w:cs="方正仿宋_GBK"/>
          <w:sz w:val="32"/>
          <w:szCs w:val="32"/>
          <w:shd w:val="clear" w:color="auto" w:fill="FFFFFF"/>
        </w:rPr>
        <w:t>万元，与2023年度相比，减少34.28万元，下降2.49%，主要原因是教师减少，学生减少，支出相应减少。其中：基本支出</w:t>
      </w:r>
      <w:r>
        <w:rPr>
          <w:rFonts w:ascii="方正仿宋_GBK" w:hAnsi="方正仿宋_GBK" w:eastAsia="方正仿宋_GBK" w:cs="方正仿宋_GBK"/>
          <w:sz w:val="32"/>
          <w:szCs w:val="32"/>
        </w:rPr>
        <w:t>869.42</w:t>
      </w:r>
      <w:r>
        <w:rPr>
          <w:rFonts w:ascii="方正仿宋_GBK" w:hAnsi="方正仿宋_GBK" w:eastAsia="方正仿宋_GBK" w:cs="方正仿宋_GBK"/>
          <w:sz w:val="32"/>
          <w:szCs w:val="32"/>
          <w:shd w:val="clear" w:color="auto" w:fill="FFFFFF"/>
        </w:rPr>
        <w:t>万元，占64.87%；项目支出</w:t>
      </w:r>
      <w:r>
        <w:rPr>
          <w:rFonts w:ascii="方正仿宋_GBK" w:hAnsi="方正仿宋_GBK" w:eastAsia="方正仿宋_GBK" w:cs="方正仿宋_GBK"/>
          <w:sz w:val="32"/>
          <w:szCs w:val="32"/>
        </w:rPr>
        <w:t>470.85</w:t>
      </w:r>
      <w:r>
        <w:rPr>
          <w:rFonts w:ascii="方正仿宋_GBK" w:hAnsi="方正仿宋_GBK" w:eastAsia="方正仿宋_GBK" w:cs="方正仿宋_GBK"/>
          <w:sz w:val="32"/>
          <w:szCs w:val="32"/>
          <w:shd w:val="clear" w:color="auto" w:fill="FFFFFF"/>
        </w:rPr>
        <w:t>万元，占35.13%；经营支出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11"/>
        <w:autoSpaceDE w:val="0"/>
        <w:spacing w:line="57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spacing w:line="57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2024年度财政拨款收、支总计1303.65万元。与2023年相比，财政拨款收、支总计各减少25.01万元，下降1.88%。主要原因是教师减少，学生减少，收入支出相应减少。</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909.81</w:t>
      </w:r>
      <w:r>
        <w:rPr>
          <w:rFonts w:ascii="方正仿宋_GBK" w:hAnsi="方正仿宋_GBK" w:eastAsia="方正仿宋_GBK" w:cs="方正仿宋_GBK"/>
          <w:sz w:val="32"/>
          <w:szCs w:val="32"/>
          <w:shd w:val="clear" w:color="auto" w:fill="FFFFFF"/>
        </w:rPr>
        <w:t>万元，与2023年度相比，减少285.72万元，下降23.90%。主要原因是教师减少，学生减少，收入相应减少。较年初预算数增加59.98万元，增长7.06%。主要原因是</w:t>
      </w:r>
      <w:r>
        <w:rPr>
          <w:rFonts w:ascii="方正仿宋_GBK" w:eastAsia="方正仿宋_GBK"/>
          <w:sz w:val="32"/>
          <w:szCs w:val="32"/>
        </w:rPr>
        <w:t>调整教职工正常晋升、晋岗晋级、绩效清算补发等人员经费年初预算。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911.20</w:t>
      </w:r>
      <w:r>
        <w:rPr>
          <w:rFonts w:ascii="方正仿宋_GBK" w:hAnsi="方正仿宋_GBK" w:eastAsia="方正仿宋_GBK" w:cs="方正仿宋_GBK"/>
          <w:sz w:val="32"/>
          <w:szCs w:val="32"/>
          <w:shd w:val="clear" w:color="auto" w:fill="FFFFFF"/>
        </w:rPr>
        <w:t>万元，与2023年度相比，减少297.10万元，下降24.59%。主要原因是教师减少，学生减少，支出相应减少。较年初预算数增加61.37万元，增长7.22%。主要原因是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605.23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66.42</w:t>
      </w:r>
      <w:r>
        <w:rPr>
          <w:rFonts w:ascii="方正仿宋_GBK" w:hAnsi="方正仿宋_GBK" w:eastAsia="方正仿宋_GBK" w:cs="方正仿宋_GBK"/>
          <w:sz w:val="32"/>
          <w:szCs w:val="32"/>
          <w:shd w:val="clear" w:color="auto" w:fill="FFFFFF"/>
        </w:rPr>
        <w:t>%，较年初预算数增加32.57万元，增长5.69%，主要原因是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240.60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26.41</w:t>
      </w:r>
      <w:r>
        <w:rPr>
          <w:rFonts w:ascii="方正仿宋_GBK" w:hAnsi="方正仿宋_GBK" w:eastAsia="方正仿宋_GBK" w:cs="方正仿宋_GBK"/>
          <w:sz w:val="32"/>
          <w:szCs w:val="32"/>
          <w:shd w:val="clear" w:color="auto" w:fill="FFFFFF"/>
        </w:rPr>
        <w:t>%，较年初预算数增加35.61万元，增长17.37%，</w:t>
      </w:r>
      <w:r>
        <w:rPr>
          <w:rFonts w:ascii="方正仿宋_GBK" w:eastAsia="方正仿宋_GBK"/>
          <w:sz w:val="32"/>
          <w:szCs w:val="32"/>
        </w:rPr>
        <w:t>主要原因是本年预算执行中，调标补缴了2024年在职人员的养老、年金，近三年即将退休人员的2022-2023年养老、年金。</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30.29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%，较年初预算数减少2.52万元，下降7.68%，</w:t>
      </w:r>
      <w:r>
        <w:rPr>
          <w:rFonts w:ascii="方正仿宋_GBK" w:eastAsia="方正仿宋_GBK"/>
          <w:sz w:val="32"/>
          <w:szCs w:val="32"/>
        </w:rPr>
        <w:t>主要原因是因人员变动，调整了年初预算。</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住房保障支出35.08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3.85</w:t>
      </w:r>
      <w:r>
        <w:rPr>
          <w:rFonts w:ascii="方正仿宋_GBK" w:hAnsi="方正仿宋_GBK" w:eastAsia="方正仿宋_GBK" w:cs="方正仿宋_GBK"/>
          <w:sz w:val="32"/>
          <w:szCs w:val="32"/>
          <w:shd w:val="clear" w:color="auto" w:fill="FFFFFF"/>
        </w:rPr>
        <w:t>%，较年初预算数减少4.29万元，下降10.90%，</w:t>
      </w:r>
      <w:r>
        <w:rPr>
          <w:rFonts w:ascii="方正仿宋_GBK" w:eastAsia="方正仿宋_GBK"/>
          <w:sz w:val="32"/>
          <w:szCs w:val="32"/>
        </w:rPr>
        <w:t>主要原因是因人员变动，调整了年初预算。</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832.89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816.01</w:t>
      </w:r>
      <w:r>
        <w:rPr>
          <w:rFonts w:ascii="方正仿宋_GBK" w:hAnsi="方正仿宋_GBK" w:eastAsia="方正仿宋_GBK" w:cs="方正仿宋_GBK"/>
          <w:sz w:val="32"/>
          <w:szCs w:val="32"/>
          <w:shd w:val="clear" w:color="auto" w:fill="FFFFFF"/>
        </w:rPr>
        <w:t>万元，与2023年度相比，减少257.00万元，下降23.95%，主要原因是教师减少，学生减少，支出相应减少。</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16.88</w:t>
      </w:r>
      <w:r>
        <w:rPr>
          <w:rFonts w:ascii="方正仿宋_GBK" w:hAnsi="方正仿宋_GBK" w:eastAsia="方正仿宋_GBK" w:cs="方正仿宋_GBK"/>
          <w:sz w:val="32"/>
          <w:szCs w:val="32"/>
          <w:shd w:val="clear" w:color="auto" w:fill="FFFFFF"/>
        </w:rPr>
        <w:t>万元，与2023年度相比，减少7.61万元，下降31.07%，主要原因是教师减少，学生减少，支出相应减少。</w:t>
      </w:r>
      <w:r>
        <w:rPr>
          <w:rFonts w:ascii="方正仿宋_GBK" w:eastAsia="方正仿宋_GBK"/>
          <w:sz w:val="32"/>
          <w:szCs w:val="32"/>
        </w:rPr>
        <w:t>公用经费用途主要包括学校正常运行的办公支出、水电费等支出。</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7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392.46</w:t>
      </w:r>
      <w:r>
        <w:rPr>
          <w:rFonts w:ascii="方正仿宋_GBK" w:hAnsi="方正仿宋_GBK" w:eastAsia="方正仿宋_GBK" w:cs="方正仿宋_GBK"/>
          <w:sz w:val="32"/>
          <w:szCs w:val="32"/>
          <w:shd w:val="clear" w:color="auto" w:fill="FFFFFF"/>
        </w:rPr>
        <w:t>万元，与2023年度相比，增加272.10万元，增长226.07%，</w:t>
      </w:r>
      <w:r>
        <w:rPr>
          <w:rFonts w:ascii="方正仿宋_GBK" w:eastAsia="方正仿宋_GBK"/>
          <w:sz w:val="32"/>
          <w:szCs w:val="32"/>
        </w:rPr>
        <w:t>主要原因是本年上级安排用于教育事业的彩票公益金增加。</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392.46</w:t>
      </w:r>
      <w:r>
        <w:rPr>
          <w:rFonts w:ascii="方正仿宋_GBK" w:hAnsi="方正仿宋_GBK" w:eastAsia="方正仿宋_GBK" w:cs="方正仿宋_GBK"/>
          <w:sz w:val="32"/>
          <w:szCs w:val="32"/>
          <w:shd w:val="clear" w:color="auto" w:fill="FFFFFF"/>
        </w:rPr>
        <w:t>万元，与2023年度相比，增加272.10万元，增长226.07%，</w:t>
      </w:r>
      <w:r>
        <w:rPr>
          <w:rFonts w:ascii="方正仿宋_GBK" w:eastAsia="方正仿宋_GBK"/>
          <w:sz w:val="32"/>
          <w:szCs w:val="32"/>
        </w:rPr>
        <w:t>主要原因是本年上级安排用于教育事业的彩票公益金增加。</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（六）国有资本经营预算财政拨款支出决算情况说明</w:t>
      </w:r>
    </w:p>
    <w:p>
      <w:pPr>
        <w:spacing w:line="576" w:lineRule="exact"/>
        <w:ind w:firstLine="640" w:firstLineChars="200"/>
        <w:rPr>
          <w:rFonts w:hint="default" w:ascii="方正仿宋_GBK" w:eastAsia="方正仿宋_GBK"/>
          <w:sz w:val="32"/>
          <w:szCs w:val="32"/>
        </w:rPr>
      </w:pPr>
      <w:r>
        <w:rPr>
          <w:rFonts w:eastAsia="方正仿宋_GBK"/>
          <w:sz w:val="32"/>
          <w:szCs w:val="32"/>
        </w:rPr>
        <w:t> </w:t>
      </w:r>
      <w:r>
        <w:rPr>
          <w:rFonts w:ascii="方正仿宋_GBK" w:eastAsia="方正仿宋_GBK"/>
          <w:sz w:val="32"/>
          <w:szCs w:val="32"/>
        </w:rPr>
        <w:t>2024年度国有资本经营预算财政拨本年支出0.00万元，基本支出0.00万元，项目支出0.00万元。本单位2024年度无国有资本经营预算财政拨款支出。</w:t>
      </w:r>
    </w:p>
    <w:p>
      <w:pPr>
        <w:pStyle w:val="6"/>
        <w:shd w:val="clear" w:color="auto" w:fill="FFFFFF"/>
        <w:spacing w:before="0" w:beforeAutospacing="0" w:after="0" w:afterAutospacing="0" w:line="57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bookmarkStart w:id="0" w:name="_GoBack"/>
      <w:bookmarkEnd w:id="0"/>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shd w:val="clear" w:color="auto" w:fill="FFFFFF"/>
        <w:spacing w:before="0" w:beforeAutospacing="0" w:after="0" w:afterAutospacing="0" w:line="576" w:lineRule="exact"/>
        <w:ind w:firstLine="640" w:firstLineChars="200"/>
        <w:rPr>
          <w:rStyle w:val="10"/>
          <w:rFonts w:hint="default" w:ascii="黑体" w:hAnsi="黑体" w:eastAsia="黑体" w:cs="黑体"/>
          <w:b w:val="0"/>
          <w:sz w:val="32"/>
          <w:szCs w:val="32"/>
          <w:shd w:val="clear" w:color="auto" w:fill="FFFFFF"/>
        </w:rPr>
      </w:pPr>
      <w:r>
        <w:rPr>
          <w:rStyle w:val="10"/>
          <w:rFonts w:ascii="黑体" w:hAnsi="黑体" w:eastAsia="黑体" w:cs="黑体"/>
          <w:b w:val="0"/>
          <w:sz w:val="32"/>
          <w:szCs w:val="32"/>
          <w:shd w:val="clear" w:color="auto" w:fill="FFFFFF"/>
        </w:rPr>
        <w:t>四、其他需要说明的事项</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 </w:t>
      </w:r>
      <w:r>
        <w:rPr>
          <w:rFonts w:ascii="方正楷体_GBK" w:eastAsia="方正楷体_GBK"/>
          <w:b/>
          <w:sz w:val="32"/>
          <w:szCs w:val="32"/>
        </w:rPr>
        <w:t>（一）财政拨款会议费和培训费情况说明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本年度会议费支出0.00万元，与2023年度相比，无增减，主要原因是上年和本年均未发生会议费支出。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万元，与2023年度相比，减少0.57万元，下降21.11%，</w:t>
      </w:r>
      <w:r>
        <w:rPr>
          <w:rFonts w:ascii="方正仿宋_GBK" w:eastAsia="方正仿宋_GBK"/>
          <w:sz w:val="32"/>
          <w:szCs w:val="32"/>
        </w:rPr>
        <w:t>主要原因是本年度学校适当减少了教职工培训次数。</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2024年度本单位机关运行经费支出0.00万元，主要原因是按照部门决算列报口径，我单位不在机关运行经费统计范围之内。</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spacing w:before="0" w:beforeAutospacing="0" w:after="0" w:afterAutospacing="0" w:line="57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根据预算绩效管理要求，我单位对 15 个二级项目开展 了绩效自评，涉及财政拨款项目支出资金470.76万元。</w:t>
      </w: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9680" w:type="dxa"/>
        <w:tblInd w:w="0" w:type="dxa"/>
        <w:tblLayout w:type="fixed"/>
        <w:tblCellMar>
          <w:top w:w="0" w:type="dxa"/>
          <w:left w:w="108" w:type="dxa"/>
          <w:bottom w:w="0" w:type="dxa"/>
          <w:right w:w="108" w:type="dxa"/>
        </w:tblCellMar>
      </w:tblPr>
      <w:tblGrid>
        <w:gridCol w:w="1459"/>
        <w:gridCol w:w="962"/>
        <w:gridCol w:w="872"/>
        <w:gridCol w:w="985"/>
        <w:gridCol w:w="745"/>
        <w:gridCol w:w="807"/>
        <w:gridCol w:w="925"/>
        <w:gridCol w:w="627"/>
        <w:gridCol w:w="626"/>
        <w:gridCol w:w="865"/>
        <w:gridCol w:w="807"/>
      </w:tblGrid>
      <w:tr>
        <w:tblPrEx>
          <w:tblLayout w:type="fixed"/>
          <w:tblCellMar>
            <w:top w:w="0" w:type="dxa"/>
            <w:left w:w="108" w:type="dxa"/>
            <w:bottom w:w="0" w:type="dxa"/>
            <w:right w:w="108" w:type="dxa"/>
          </w:tblCellMar>
        </w:tblPrEx>
        <w:trPr>
          <w:trHeight w:val="268" w:hRule="atLeast"/>
        </w:trPr>
        <w:tc>
          <w:tcPr>
            <w:tcW w:w="96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268" w:hRule="atLeast"/>
        </w:trPr>
        <w:tc>
          <w:tcPr>
            <w:tcW w:w="96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1" w:firstLineChars="100"/>
              <w:jc w:val="right"/>
              <w:rPr>
                <w:rFonts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83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机关事业单位退休人员管理经费</w:t>
            </w:r>
          </w:p>
        </w:tc>
        <w:tc>
          <w:tcPr>
            <w:tcW w:w="98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5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50023121T000000024575</w:t>
            </w:r>
          </w:p>
        </w:tc>
        <w:tc>
          <w:tcPr>
            <w:tcW w:w="92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125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86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83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98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5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92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125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周建华</w:t>
            </w:r>
          </w:p>
        </w:tc>
        <w:tc>
          <w:tcPr>
            <w:tcW w:w="86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807"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15023966039</w:t>
            </w:r>
          </w:p>
        </w:tc>
      </w:tr>
      <w:tr>
        <w:tblPrEx>
          <w:tblLayout w:type="fixed"/>
          <w:tblCellMar>
            <w:top w:w="0" w:type="dxa"/>
            <w:left w:w="108" w:type="dxa"/>
            <w:bottom w:w="0" w:type="dxa"/>
            <w:right w:w="108" w:type="dxa"/>
          </w:tblCellMar>
        </w:tblPrEx>
        <w:trPr>
          <w:trHeight w:val="268" w:hRule="atLeast"/>
        </w:trPr>
        <w:tc>
          <w:tcPr>
            <w:tcW w:w="96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526" w:hRule="atLeast"/>
        </w:trPr>
        <w:tc>
          <w:tcPr>
            <w:tcW w:w="24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85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55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55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62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865" w:type="dxa"/>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80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962"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7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8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3,900.00 </w:t>
            </w:r>
          </w:p>
        </w:tc>
        <w:tc>
          <w:tcPr>
            <w:tcW w:w="92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3,900.00 </w:t>
            </w:r>
          </w:p>
        </w:tc>
        <w:tc>
          <w:tcPr>
            <w:tcW w:w="626"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65"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962"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7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8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3,900.00 </w:t>
            </w:r>
          </w:p>
        </w:tc>
        <w:tc>
          <w:tcPr>
            <w:tcW w:w="92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3,900.00 </w:t>
            </w:r>
          </w:p>
        </w:tc>
        <w:tc>
          <w:tcPr>
            <w:tcW w:w="626"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65"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962"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7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8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3,900.00 </w:t>
            </w:r>
          </w:p>
        </w:tc>
        <w:tc>
          <w:tcPr>
            <w:tcW w:w="92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3,900.00 </w:t>
            </w:r>
          </w:p>
        </w:tc>
        <w:tc>
          <w:tcPr>
            <w:tcW w:w="626"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65"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268" w:hRule="atLeast"/>
        </w:trPr>
        <w:tc>
          <w:tcPr>
            <w:tcW w:w="96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268" w:hRule="atLeast"/>
        </w:trPr>
        <w:tc>
          <w:tcPr>
            <w:tcW w:w="427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3104"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2298"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526" w:hRule="atLeast"/>
        </w:trPr>
        <w:tc>
          <w:tcPr>
            <w:tcW w:w="4278" w:type="dxa"/>
            <w:gridSpan w:val="4"/>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慰问、管理全县机关事业单位退休人员</w:t>
            </w:r>
          </w:p>
        </w:tc>
        <w:tc>
          <w:tcPr>
            <w:tcW w:w="3104" w:type="dxa"/>
            <w:gridSpan w:val="4"/>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慰问、管理全县机关事业单位退休人员</w:t>
            </w:r>
          </w:p>
        </w:tc>
        <w:tc>
          <w:tcPr>
            <w:tcW w:w="2298" w:type="dxa"/>
            <w:gridSpan w:val="3"/>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慰问、管理全县机关事业单位退休人员</w:t>
            </w:r>
          </w:p>
        </w:tc>
      </w:tr>
      <w:tr>
        <w:tblPrEx>
          <w:tblLayout w:type="fixed"/>
          <w:tblCellMar>
            <w:top w:w="0" w:type="dxa"/>
            <w:left w:w="108" w:type="dxa"/>
            <w:bottom w:w="0" w:type="dxa"/>
            <w:right w:w="108" w:type="dxa"/>
          </w:tblCellMar>
        </w:tblPrEx>
        <w:trPr>
          <w:trHeight w:val="268" w:hRule="atLeast"/>
        </w:trPr>
        <w:tc>
          <w:tcPr>
            <w:tcW w:w="96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96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87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98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74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80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92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62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62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86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80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268"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学校退休教师数量</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40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40</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是</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68"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慰问服务合格率</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慰问服务资金到位率</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26"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退休教师凝聚力显著提高</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定性</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显著提高</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68"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退休教师满意度</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95</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95</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78" w:hRule="atLeast"/>
        </w:trPr>
        <w:tc>
          <w:tcPr>
            <w:tcW w:w="145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人均慰问、管理成本</w:t>
            </w:r>
          </w:p>
        </w:tc>
        <w:tc>
          <w:tcPr>
            <w:tcW w:w="96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元/年</w:t>
            </w:r>
          </w:p>
        </w:tc>
        <w:tc>
          <w:tcPr>
            <w:tcW w:w="872"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8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65"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0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tbl>
      <w:tblPr>
        <w:tblStyle w:val="7"/>
        <w:tblW w:w="9700" w:type="dxa"/>
        <w:tblInd w:w="0" w:type="dxa"/>
        <w:tblLayout w:type="fixed"/>
        <w:tblCellMar>
          <w:top w:w="0" w:type="dxa"/>
          <w:left w:w="108" w:type="dxa"/>
          <w:bottom w:w="0" w:type="dxa"/>
          <w:right w:w="108" w:type="dxa"/>
        </w:tblCellMar>
      </w:tblPr>
      <w:tblGrid>
        <w:gridCol w:w="1735"/>
        <w:gridCol w:w="726"/>
        <w:gridCol w:w="659"/>
        <w:gridCol w:w="1007"/>
        <w:gridCol w:w="761"/>
        <w:gridCol w:w="823"/>
        <w:gridCol w:w="945"/>
        <w:gridCol w:w="698"/>
        <w:gridCol w:w="639"/>
        <w:gridCol w:w="884"/>
        <w:gridCol w:w="823"/>
      </w:tblGrid>
      <w:tr>
        <w:tblPrEx>
          <w:tblLayout w:type="fixed"/>
          <w:tblCellMar>
            <w:top w:w="0" w:type="dxa"/>
            <w:left w:w="108" w:type="dxa"/>
            <w:bottom w:w="0" w:type="dxa"/>
            <w:right w:w="108" w:type="dxa"/>
          </w:tblCellMar>
        </w:tblPrEx>
        <w:trPr>
          <w:trHeight w:val="279" w:hRule="atLeast"/>
        </w:trPr>
        <w:tc>
          <w:tcPr>
            <w:tcW w:w="97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279" w:hRule="atLeast"/>
        </w:trPr>
        <w:tc>
          <w:tcPr>
            <w:tcW w:w="97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1" w:firstLineChars="100"/>
              <w:jc w:val="right"/>
              <w:rPr>
                <w:rFonts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385"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遗属补助</w:t>
            </w:r>
          </w:p>
        </w:tc>
        <w:tc>
          <w:tcPr>
            <w:tcW w:w="1007"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58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50023122T000000098554</w:t>
            </w:r>
          </w:p>
        </w:tc>
        <w:tc>
          <w:tcPr>
            <w:tcW w:w="94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1337"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884"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823"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385"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1007"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58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945"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1337"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周建华</w:t>
            </w:r>
          </w:p>
        </w:tc>
        <w:tc>
          <w:tcPr>
            <w:tcW w:w="884"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823"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15023966039</w:t>
            </w:r>
          </w:p>
        </w:tc>
      </w:tr>
      <w:tr>
        <w:tblPrEx>
          <w:tblLayout w:type="fixed"/>
          <w:tblCellMar>
            <w:top w:w="0" w:type="dxa"/>
            <w:left w:w="108" w:type="dxa"/>
            <w:bottom w:w="0" w:type="dxa"/>
            <w:right w:w="108" w:type="dxa"/>
          </w:tblCellMar>
        </w:tblPrEx>
        <w:trPr>
          <w:trHeight w:val="279" w:hRule="atLeast"/>
        </w:trPr>
        <w:tc>
          <w:tcPr>
            <w:tcW w:w="97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548" w:hRule="atLeast"/>
        </w:trPr>
        <w:tc>
          <w:tcPr>
            <w:tcW w:w="24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666"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58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643"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63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884" w:type="dxa"/>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726"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59"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32,460.00 </w:t>
            </w:r>
          </w:p>
        </w:tc>
        <w:tc>
          <w:tcPr>
            <w:tcW w:w="761"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23"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38,733.72 </w:t>
            </w:r>
          </w:p>
        </w:tc>
        <w:tc>
          <w:tcPr>
            <w:tcW w:w="9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9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38,733.72 </w:t>
            </w:r>
          </w:p>
        </w:tc>
        <w:tc>
          <w:tcPr>
            <w:tcW w:w="639"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726"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59"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32,460.00 </w:t>
            </w:r>
          </w:p>
        </w:tc>
        <w:tc>
          <w:tcPr>
            <w:tcW w:w="761"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23"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38,733.72 </w:t>
            </w:r>
          </w:p>
        </w:tc>
        <w:tc>
          <w:tcPr>
            <w:tcW w:w="9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9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38,733.72 </w:t>
            </w:r>
          </w:p>
        </w:tc>
        <w:tc>
          <w:tcPr>
            <w:tcW w:w="63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84"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726"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59"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32,460.00 </w:t>
            </w:r>
          </w:p>
        </w:tc>
        <w:tc>
          <w:tcPr>
            <w:tcW w:w="761"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23"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38,733.72 </w:t>
            </w:r>
          </w:p>
        </w:tc>
        <w:tc>
          <w:tcPr>
            <w:tcW w:w="94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69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38,733.72 </w:t>
            </w:r>
          </w:p>
        </w:tc>
        <w:tc>
          <w:tcPr>
            <w:tcW w:w="63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84"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279" w:hRule="atLeast"/>
        </w:trPr>
        <w:tc>
          <w:tcPr>
            <w:tcW w:w="97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279" w:hRule="atLeast"/>
        </w:trPr>
        <w:tc>
          <w:tcPr>
            <w:tcW w:w="41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3227"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2346"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279" w:hRule="atLeast"/>
        </w:trPr>
        <w:tc>
          <w:tcPr>
            <w:tcW w:w="4127" w:type="dxa"/>
            <w:gridSpan w:val="4"/>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教育系统遗属生活补助</w:t>
            </w:r>
          </w:p>
        </w:tc>
        <w:tc>
          <w:tcPr>
            <w:tcW w:w="3227" w:type="dxa"/>
            <w:gridSpan w:val="4"/>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　</w:t>
            </w:r>
          </w:p>
        </w:tc>
        <w:tc>
          <w:tcPr>
            <w:tcW w:w="2346" w:type="dxa"/>
            <w:gridSpan w:val="3"/>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全部完成</w:t>
            </w:r>
          </w:p>
        </w:tc>
      </w:tr>
      <w:tr>
        <w:tblPrEx>
          <w:tblLayout w:type="fixed"/>
          <w:tblCellMar>
            <w:top w:w="0" w:type="dxa"/>
            <w:left w:w="108" w:type="dxa"/>
            <w:bottom w:w="0" w:type="dxa"/>
            <w:right w:w="108" w:type="dxa"/>
          </w:tblCellMar>
        </w:tblPrEx>
        <w:trPr>
          <w:trHeight w:val="279" w:hRule="atLeast"/>
        </w:trPr>
        <w:tc>
          <w:tcPr>
            <w:tcW w:w="97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72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65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100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76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94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698"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63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884"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279"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遗属人员补助发放人数</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是</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79"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遗属补助发放覆盖率</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79"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项目实施周期</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月</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548"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为遗属人员生活提供基本保障</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79"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服务对象满意度</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90</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90</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289" w:hRule="atLeast"/>
        </w:trPr>
        <w:tc>
          <w:tcPr>
            <w:tcW w:w="1735"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遗属补助发放标准</w:t>
            </w:r>
          </w:p>
        </w:tc>
        <w:tc>
          <w:tcPr>
            <w:tcW w:w="7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元/月</w:t>
            </w:r>
          </w:p>
        </w:tc>
        <w:tc>
          <w:tcPr>
            <w:tcW w:w="6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100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1352.5</w:t>
            </w:r>
          </w:p>
        </w:tc>
        <w:tc>
          <w:tcPr>
            <w:tcW w:w="7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1352.5</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4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9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84"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23"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spacing w:line="576" w:lineRule="exact"/>
        <w:ind w:firstLine="640" w:firstLineChars="200"/>
        <w:rPr>
          <w:rFonts w:hint="default" w:ascii="方正仿宋_GBK" w:eastAsia="方正仿宋_GBK"/>
          <w:sz w:val="32"/>
          <w:szCs w:val="32"/>
        </w:rPr>
        <w:sectPr>
          <w:pgSz w:w="11915" w:h="16840"/>
          <w:pgMar w:top="1440" w:right="1797" w:bottom="1440" w:left="1797" w:header="851" w:footer="992" w:gutter="0"/>
          <w:pgNumType w:fmt="numberInDash"/>
          <w:cols w:space="720" w:num="1"/>
          <w:docGrid w:linePitch="312" w:charSpace="0"/>
        </w:sectPr>
      </w:pP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rPr>
        <w:t xml:space="preserve">    周老师，</w:t>
      </w:r>
      <w:r>
        <w:rPr>
          <w:rFonts w:ascii="方正仿宋_GBK" w:hAnsi="华文仿宋" w:eastAsia="方正仿宋_GBK"/>
          <w:sz w:val="32"/>
          <w:szCs w:val="32"/>
        </w:rPr>
        <w:t>023-74558708</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linePitch="312" w:charSpace="0"/>
        </w:sect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3922"/>
        <w:gridCol w:w="3248"/>
        <w:gridCol w:w="3692"/>
        <w:gridCol w:w="2594"/>
      </w:tblGrid>
      <w:tr>
        <w:tblPrEx>
          <w:tblLayout w:type="fixed"/>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7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垫江县杠家小学校</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909.81</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641.84</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240.60</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1,336.22</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1,340.26</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1,340.76</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1,340.76</w:t>
            </w:r>
          </w:p>
        </w:tc>
      </w:tr>
    </w:tbl>
    <w:p>
      <w:pPr>
        <w:rPr>
          <w:rFonts w:cs="宋体"/>
          <w:sz w:val="21"/>
          <w:szCs w:val="21"/>
        </w:rPr>
      </w:pPr>
    </w:p>
    <w:p>
      <w:pPr>
        <w:rPr>
          <w:rFonts w:cs="宋体"/>
          <w:sz w:val="21"/>
          <w:szCs w:val="21"/>
        </w:rPr>
      </w:pPr>
    </w:p>
    <w:p>
      <w:pPr>
        <w:rPr>
          <w:rFonts w:cs="宋体"/>
          <w:sz w:val="21"/>
          <w:szCs w:val="21"/>
        </w:rPr>
      </w:pPr>
    </w:p>
    <w:p>
      <w:pPr>
        <w:rPr>
          <w:rFonts w:hint="default" w:cs="宋体"/>
          <w:sz w:val="21"/>
          <w:szCs w:val="21"/>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垫江县杠家小学校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1,336.22</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1,302.26</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18.34</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18.34</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15.61</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639.18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15.61</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15.61</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616.90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1,340.26</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869.42</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470.85</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641.84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563.84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636.99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562.30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616.40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240.60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240.60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909.81</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605.23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605.23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240.60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240.60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1,302.26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1,303.65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1,303.65</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1,303.65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392.46</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911.20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832.89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78.31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605.23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527.31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77.92</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600.38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525.77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594.17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525.77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240.60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240.21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240.60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240.21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128.53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816.01</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16.88</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392.46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392.46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392.46</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392.46</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Layout w:type="fixed"/>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垫江县杠家小学校</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3.31</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60511"/>
    <w:rsid w:val="001D3BB7"/>
    <w:rsid w:val="00244C6D"/>
    <w:rsid w:val="002B254B"/>
    <w:rsid w:val="0034050A"/>
    <w:rsid w:val="0044504F"/>
    <w:rsid w:val="00466C9B"/>
    <w:rsid w:val="0048651A"/>
    <w:rsid w:val="00486CFC"/>
    <w:rsid w:val="00491DDD"/>
    <w:rsid w:val="00550ABE"/>
    <w:rsid w:val="00623A85"/>
    <w:rsid w:val="006A40DF"/>
    <w:rsid w:val="006E0D3B"/>
    <w:rsid w:val="00770383"/>
    <w:rsid w:val="007819D4"/>
    <w:rsid w:val="007B419D"/>
    <w:rsid w:val="007B7C4B"/>
    <w:rsid w:val="007D3D39"/>
    <w:rsid w:val="008A15D7"/>
    <w:rsid w:val="00937ADB"/>
    <w:rsid w:val="00984C6A"/>
    <w:rsid w:val="0098598D"/>
    <w:rsid w:val="00994AF7"/>
    <w:rsid w:val="009B67B8"/>
    <w:rsid w:val="009C14C9"/>
    <w:rsid w:val="009D2B67"/>
    <w:rsid w:val="009E1452"/>
    <w:rsid w:val="00A566F9"/>
    <w:rsid w:val="00AD7B6E"/>
    <w:rsid w:val="00AF2751"/>
    <w:rsid w:val="00B03CCD"/>
    <w:rsid w:val="00BE2B89"/>
    <w:rsid w:val="00BF0D89"/>
    <w:rsid w:val="00C10E9E"/>
    <w:rsid w:val="00C20C3E"/>
    <w:rsid w:val="00C5163E"/>
    <w:rsid w:val="00CC0426"/>
    <w:rsid w:val="00CF2ACF"/>
    <w:rsid w:val="00D03AAF"/>
    <w:rsid w:val="00D05C6D"/>
    <w:rsid w:val="00DD0539"/>
    <w:rsid w:val="00DE2F0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7F28DD"/>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8B21C7"/>
    <w:rsid w:val="44C37687"/>
    <w:rsid w:val="45CB699A"/>
    <w:rsid w:val="46423C66"/>
    <w:rsid w:val="465B470D"/>
    <w:rsid w:val="469D6AD4"/>
    <w:rsid w:val="471E6C84"/>
    <w:rsid w:val="4748792B"/>
    <w:rsid w:val="475D719D"/>
    <w:rsid w:val="47674801"/>
    <w:rsid w:val="47BA3D5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8230</Words>
  <Characters>11248</Characters>
  <Lines>110</Lines>
  <Paragraphs>31</Paragraphs>
  <TotalTime>2</TotalTime>
  <ScaleCrop>false</ScaleCrop>
  <LinksUpToDate>false</LinksUpToDate>
  <CharactersWithSpaces>11502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2025-08-15T09:00:00Z</dcterms:created>
  <dc:creator>Administrator</dc:creator>
  <cp:lastModifiedBy>Administrator</cp:lastModifiedBy>
  <dcterms:modified xsi:type="dcterms:W3CDTF">2025-09-22T08:26:38Z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