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jc w:val="center"/>
        <w:rPr>
          <w:rFonts w:hint="eastAsia" w:ascii="方正小标宋_GBK" w:hAnsi="华文中宋" w:eastAsia="方正小标宋_GBK" w:cs="华文中宋"/>
          <w:kern w:val="2"/>
          <w:sz w:val="44"/>
          <w:szCs w:val="44"/>
          <w:lang w:val="en-US" w:eastAsia="zh-CN"/>
        </w:rPr>
      </w:pPr>
      <w:r>
        <w:rPr>
          <w:rFonts w:hint="eastAsia" w:ascii="方正小标宋_GBK" w:hAnsi="华文中宋" w:eastAsia="方正小标宋_GBK" w:cs="华文中宋"/>
          <w:kern w:val="2"/>
          <w:sz w:val="44"/>
          <w:szCs w:val="44"/>
          <w:lang w:val="en-US" w:eastAsia="zh-CN"/>
        </w:rPr>
        <w:t>垫江县沙坪中心幼儿园</w:t>
      </w:r>
    </w:p>
    <w:p>
      <w:pPr>
        <w:widowControl w:val="0"/>
        <w:spacing w:line="600" w:lineRule="exact"/>
        <w:jc w:val="center"/>
        <w:rPr>
          <w:rFonts w:hint="default" w:ascii="方正小标宋_GBK" w:hAnsi="华文中宋" w:eastAsia="方正小标宋_GBK" w:cs="华文中宋"/>
          <w:kern w:val="2"/>
          <w:sz w:val="44"/>
          <w:szCs w:val="44"/>
        </w:rPr>
      </w:pPr>
      <w:r>
        <w:rPr>
          <w:rFonts w:hint="eastAsia" w:ascii="方正小标宋_GBK" w:hAnsi="华文中宋" w:eastAsia="方正小标宋_GBK" w:cs="华文中宋"/>
          <w:kern w:val="2"/>
          <w:sz w:val="44"/>
          <w:szCs w:val="44"/>
          <w:lang w:val="en-US" w:eastAsia="zh-CN"/>
        </w:rPr>
        <w:t>2024年度决算公开</w:t>
      </w:r>
      <w:r>
        <w:rPr>
          <w:rFonts w:hint="eastAsia" w:ascii="方正小标宋_GBK" w:hAnsi="华文中宋" w:eastAsia="方正小标宋_GBK" w:cs="华文中宋"/>
          <w:kern w:val="2"/>
          <w:sz w:val="44"/>
          <w:szCs w:val="44"/>
        </w:rPr>
        <w:t>说明</w:t>
      </w:r>
    </w:p>
    <w:p>
      <w:pPr>
        <w:spacing w:line="600" w:lineRule="exact"/>
        <w:ind w:firstLine="880" w:firstLineChars="200"/>
        <w:jc w:val="center"/>
        <w:rPr>
          <w:rFonts w:ascii="华文中宋" w:hAnsi="华文中宋" w:eastAsia="华文中宋" w:cs="华文中宋"/>
          <w:sz w:val="44"/>
          <w:szCs w:val="44"/>
        </w:rPr>
      </w:pPr>
    </w:p>
    <w:p>
      <w:pPr>
        <w:spacing w:line="600" w:lineRule="exact"/>
        <w:ind w:firstLine="640" w:firstLineChars="200"/>
        <w:rPr>
          <w:rFonts w:ascii="方正黑体_GBK" w:hAnsi="黑体" w:eastAsia="方正黑体_GBK" w:cs="仿宋_GB2312"/>
          <w:sz w:val="32"/>
        </w:rPr>
      </w:pPr>
      <w:r>
        <w:rPr>
          <w:rFonts w:hint="eastAsia"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pStyle w:val="16"/>
        <w:tabs>
          <w:tab w:val="center" w:pos="4153"/>
          <w:tab w:val="left" w:pos="7275"/>
        </w:tabs>
        <w:spacing w:line="600" w:lineRule="exact"/>
        <w:ind w:firstLine="640"/>
        <w:rPr>
          <w:rFonts w:eastAsia="方正仿宋_GBK"/>
          <w:sz w:val="32"/>
          <w:szCs w:val="32"/>
        </w:rPr>
      </w:pPr>
      <w:r>
        <w:rPr>
          <w:rFonts w:eastAsia="方正仿宋_GBK"/>
          <w:sz w:val="32"/>
          <w:szCs w:val="32"/>
        </w:rPr>
        <w:t>负责为学龄前儿童提供保育和教育工作；全面推动素质教育；负责学校卫生、安全、稳定；学校经费和校产管理；师资队伍建设。</w:t>
      </w:r>
    </w:p>
    <w:p>
      <w:pPr>
        <w:pStyle w:val="16"/>
        <w:tabs>
          <w:tab w:val="center" w:pos="4153"/>
          <w:tab w:val="left" w:pos="7275"/>
        </w:tabs>
        <w:spacing w:line="600" w:lineRule="exact"/>
        <w:ind w:firstLine="643"/>
        <w:rPr>
          <w:rFonts w:eastAsia="方正楷体_GBK"/>
          <w:b/>
          <w:bCs/>
          <w:sz w:val="32"/>
          <w:szCs w:val="32"/>
        </w:rPr>
      </w:pPr>
      <w:r>
        <w:rPr>
          <w:rFonts w:eastAsia="方正楷体_GBK"/>
          <w:b/>
          <w:bCs/>
          <w:sz w:val="32"/>
          <w:szCs w:val="32"/>
        </w:rPr>
        <w:t>（二）</w:t>
      </w:r>
      <w:r>
        <w:rPr>
          <w:rFonts w:hint="eastAsia" w:eastAsia="方正楷体_GBK"/>
          <w:b/>
          <w:bCs/>
          <w:sz w:val="32"/>
          <w:szCs w:val="32"/>
        </w:rPr>
        <w:t>机构设置</w:t>
      </w:r>
    </w:p>
    <w:p>
      <w:pPr>
        <w:spacing w:line="600" w:lineRule="exact"/>
        <w:ind w:left="730" w:leftChars="304"/>
        <w:rPr>
          <w:rFonts w:eastAsia="方正仿宋_GBK"/>
          <w:sz w:val="32"/>
        </w:rPr>
      </w:pPr>
      <w:r>
        <w:rPr>
          <w:rFonts w:eastAsia="方正仿宋_GBK"/>
          <w:sz w:val="32"/>
        </w:rPr>
        <w:t>本单位内设机构包含：教务处、后勤处</w:t>
      </w:r>
    </w:p>
    <w:p>
      <w:pPr>
        <w:spacing w:line="600" w:lineRule="exact"/>
        <w:ind w:firstLine="640" w:firstLineChars="200"/>
        <w:rPr>
          <w:rFonts w:eastAsia="方正仿宋_GBK"/>
          <w:sz w:val="32"/>
        </w:rPr>
      </w:pPr>
      <w:r>
        <w:rPr>
          <w:rFonts w:eastAsia="方正仿宋_GBK"/>
          <w:sz w:val="32"/>
        </w:rPr>
        <w:t>领导职数：单位领导职数4名，其中：园长1名、副园长1名；内设机构领导职数2名。</w:t>
      </w:r>
    </w:p>
    <w:p>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napToGrid/>
        <w:spacing w:line="600" w:lineRule="exact"/>
        <w:ind w:firstLine="643"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度收入总计427.97万元，支出总计</w:t>
      </w:r>
      <w:r>
        <w:rPr>
          <w:rFonts w:ascii="方正仿宋_GBK" w:hAnsi="方正仿宋_GBK" w:eastAsia="方正仿宋_GBK" w:cs="方正仿宋_GBK"/>
          <w:sz w:val="32"/>
          <w:szCs w:val="32"/>
        </w:rPr>
        <w:t>427.97</w:t>
      </w:r>
      <w:r>
        <w:rPr>
          <w:rFonts w:ascii="方正仿宋_GBK" w:hAnsi="方正仿宋_GBK" w:eastAsia="方正仿宋_GBK" w:cs="方正仿宋_GBK"/>
          <w:sz w:val="32"/>
          <w:szCs w:val="32"/>
          <w:shd w:val="clear" w:color="auto" w:fill="FFFFFF"/>
        </w:rPr>
        <w:t>万元。收、支与2023年度相比，减少16.80万元，下降3.78%，主要原因是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度收入合计421.47万元，与2023年度相比，增加16.49万元，增长4.07%，主要原因是</w:t>
      </w:r>
      <w:r>
        <w:rPr>
          <w:rFonts w:hint="eastAsia" w:ascii="方正仿宋_GBK" w:hAnsi="方正仿宋_GBK" w:eastAsia="方正仿宋_GBK" w:cs="方正仿宋_GBK"/>
          <w:sz w:val="32"/>
          <w:szCs w:val="32"/>
          <w:shd w:val="clear" w:color="auto" w:fill="FFFFFF"/>
          <w:lang w:eastAsia="zh-CN"/>
        </w:rPr>
        <w:t>本年参加课后延时服务幼儿较上年增加致捐赠等其他收入增加。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233.80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55.47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151.59</w:t>
      </w:r>
      <w:r>
        <w:rPr>
          <w:rFonts w:ascii="方正仿宋_GBK" w:hAnsi="方正仿宋_GBK" w:eastAsia="方正仿宋_GBK" w:cs="方正仿宋_GBK"/>
          <w:sz w:val="32"/>
          <w:szCs w:val="32"/>
          <w:shd w:val="clear" w:color="auto" w:fill="FFFFFF"/>
        </w:rPr>
        <w:t>万元，占35.97%；经营收入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36.08</w:t>
      </w:r>
      <w:r>
        <w:rPr>
          <w:rFonts w:ascii="方正仿宋_GBK" w:hAnsi="方正仿宋_GBK" w:eastAsia="方正仿宋_GBK" w:cs="方正仿宋_GBK"/>
          <w:sz w:val="32"/>
          <w:szCs w:val="32"/>
          <w:shd w:val="clear" w:color="auto" w:fill="FFFFFF"/>
        </w:rPr>
        <w:t>万元，占8.56%。此外，使用非财政拨款结余和专用结余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6.50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383.33</w:t>
      </w:r>
      <w:r>
        <w:rPr>
          <w:rFonts w:ascii="方正仿宋_GBK" w:hAnsi="方正仿宋_GBK" w:eastAsia="方正仿宋_GBK" w:cs="方正仿宋_GBK"/>
          <w:sz w:val="32"/>
          <w:szCs w:val="32"/>
          <w:shd w:val="clear" w:color="auto" w:fill="FFFFFF"/>
        </w:rPr>
        <w:t>万元，与2023年度相比，减少42.91万元，下降10.07%，主要原因是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且本年因教师人数减少致人员经费减少，幼儿人数减少致公用经费、事业收入减少。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333.91</w:t>
      </w:r>
      <w:r>
        <w:rPr>
          <w:rFonts w:ascii="方正仿宋_GBK" w:hAnsi="方正仿宋_GBK" w:eastAsia="方正仿宋_GBK" w:cs="方正仿宋_GBK"/>
          <w:sz w:val="32"/>
          <w:szCs w:val="32"/>
          <w:shd w:val="clear" w:color="auto" w:fill="FFFFFF"/>
        </w:rPr>
        <w:t>万元，占87.11%；项目支出</w:t>
      </w:r>
      <w:r>
        <w:rPr>
          <w:rFonts w:ascii="方正仿宋_GBK" w:hAnsi="方正仿宋_GBK" w:eastAsia="方正仿宋_GBK" w:cs="方正仿宋_GBK"/>
          <w:sz w:val="32"/>
          <w:szCs w:val="32"/>
        </w:rPr>
        <w:t>49.42</w:t>
      </w:r>
      <w:r>
        <w:rPr>
          <w:rFonts w:ascii="方正仿宋_GBK" w:hAnsi="方正仿宋_GBK" w:eastAsia="方正仿宋_GBK" w:cs="方正仿宋_GBK"/>
          <w:sz w:val="32"/>
          <w:szCs w:val="32"/>
          <w:shd w:val="clear" w:color="auto" w:fill="FFFFFF"/>
        </w:rPr>
        <w:t>万元，占12.89%；经营支出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44.64</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auto"/>
          <w:sz w:val="32"/>
          <w:szCs w:val="32"/>
          <w:shd w:val="clear" w:color="auto" w:fill="FFFFFF"/>
        </w:rPr>
        <w:t>主要原因是2023年和2024年均无</w:t>
      </w:r>
      <w:r>
        <w:rPr>
          <w:rFonts w:hint="eastAsia" w:ascii="方正仿宋_GBK" w:hAnsi="方正仿宋_GBK" w:eastAsia="方正仿宋_GBK" w:cs="方正仿宋_GBK"/>
          <w:color w:val="auto"/>
          <w:sz w:val="32"/>
          <w:szCs w:val="32"/>
          <w:shd w:val="clear" w:color="auto" w:fill="FFFFFF"/>
          <w:lang w:eastAsia="zh-CN"/>
        </w:rPr>
        <w:t>年末</w:t>
      </w:r>
      <w:r>
        <w:rPr>
          <w:rFonts w:ascii="方正仿宋_GBK" w:hAnsi="方正仿宋_GBK" w:eastAsia="方正仿宋_GBK" w:cs="方正仿宋_GBK"/>
          <w:color w:val="auto"/>
          <w:sz w:val="32"/>
          <w:szCs w:val="32"/>
          <w:shd w:val="clear" w:color="auto" w:fill="FFFFFF"/>
        </w:rPr>
        <w:t>结转和结余。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度财政拨款收、支总计233.80万元。与202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年相比，财政拨款收、支总计各减少5.94万元，下降2.48%。主要原因是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且本年因教师人数减少致人员经费减少，幼儿人数减少致公用经费减少。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233.80</w:t>
      </w:r>
      <w:r>
        <w:rPr>
          <w:rFonts w:ascii="方正仿宋_GBK" w:hAnsi="方正仿宋_GBK" w:eastAsia="方正仿宋_GBK" w:cs="方正仿宋_GBK"/>
          <w:sz w:val="32"/>
          <w:szCs w:val="32"/>
          <w:shd w:val="clear" w:color="auto" w:fill="FFFFFF"/>
        </w:rPr>
        <w:t>万元，与2023年度相比，减少5.94万元，下降2.48%。主要原因是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且本年因教师人数减少致人员经费减少，幼儿人数减少致公用经费减少。</w:t>
      </w:r>
      <w:r>
        <w:rPr>
          <w:rFonts w:ascii="方正仿宋_GBK" w:hAnsi="方正仿宋_GBK" w:eastAsia="方正仿宋_GBK" w:cs="方正仿宋_GBK"/>
          <w:sz w:val="32"/>
          <w:szCs w:val="32"/>
          <w:shd w:val="clear" w:color="auto" w:fill="FFFFFF"/>
        </w:rPr>
        <w:t>较年初预算数增加4.82万元，增长2.10%。</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233.80</w:t>
      </w:r>
      <w:r>
        <w:rPr>
          <w:rFonts w:ascii="方正仿宋_GBK" w:hAnsi="方正仿宋_GBK" w:eastAsia="方正仿宋_GBK" w:cs="方正仿宋_GBK"/>
          <w:sz w:val="32"/>
          <w:szCs w:val="32"/>
          <w:shd w:val="clear" w:color="auto" w:fill="FFFFFF"/>
        </w:rPr>
        <w:t>万元，与2023年度相比，减少5.94万元，下降2.48%。主要原因是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且本年因教师人数减少致人员经费减少，幼儿人数减少致公用经费减少。</w:t>
      </w:r>
      <w:r>
        <w:rPr>
          <w:rFonts w:ascii="方正仿宋_GBK" w:hAnsi="方正仿宋_GBK" w:eastAsia="方正仿宋_GBK" w:cs="方正仿宋_GBK"/>
          <w:sz w:val="32"/>
          <w:szCs w:val="32"/>
          <w:shd w:val="clear" w:color="auto" w:fill="FFFFFF"/>
        </w:rPr>
        <w:t>较年初预算数增加4.82万元，增长2.10%。</w:t>
      </w:r>
      <w:r>
        <w:rPr>
          <w:rFonts w:hint="eastAsia" w:ascii="方正仿宋_GBK" w:hAnsi="方正仿宋_GBK" w:eastAsia="方正仿宋_GBK" w:cs="方正仿宋_GBK"/>
          <w:sz w:val="32"/>
          <w:szCs w:val="32"/>
          <w:shd w:val="clear" w:color="auto" w:fill="FFFFFF"/>
          <w:lang w:val="en-US" w:eastAsia="zh-CN" w:bidi="ar"/>
        </w:rPr>
        <w:t>主要原因是本年预算执行中教职工正常晋升、晋岗晋级及</w:t>
      </w:r>
      <w:r>
        <w:rPr>
          <w:rFonts w:hint="eastAsia" w:ascii="方正仿宋_GBK" w:hAnsi="宋体" w:eastAsia="方正仿宋_GBK" w:cs="Times New Roman"/>
          <w:sz w:val="32"/>
          <w:szCs w:val="32"/>
          <w:shd w:val="clear" w:color="auto" w:fill="FFFFFF"/>
          <w:lang w:val="en-US" w:eastAsia="zh-CN" w:bidi="ar"/>
        </w:rPr>
        <w:t>将超额绩效纳入养老保险和职业年金基数</w:t>
      </w:r>
      <w:r>
        <w:rPr>
          <w:rFonts w:hint="eastAsia" w:ascii="方正仿宋_GBK" w:hAnsi="方正仿宋_GBK" w:eastAsia="方正仿宋_GBK" w:cs="方正仿宋_GBK"/>
          <w:sz w:val="32"/>
          <w:szCs w:val="32"/>
          <w:shd w:val="clear" w:color="auto" w:fill="FFFFFF"/>
          <w:lang w:val="en-US" w:eastAsia="zh-CN" w:bidi="ar"/>
        </w:rPr>
        <w:t>等人员经费类基本支出增加</w:t>
      </w:r>
      <w:r>
        <w:rPr>
          <w:rFonts w:ascii="方正仿宋_GBK" w:eastAsia="方正仿宋_GBK"/>
          <w:color w:val="000000"/>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color w:val="000000"/>
          <w:sz w:val="32"/>
          <w:szCs w:val="32"/>
          <w:shd w:val="clear" w:color="auto" w:fill="FFFFFF"/>
        </w:rPr>
        <w:t>主要原因是本单位本年末无一般公共预算财政拨款结转和结余。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183.43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78.46</w:t>
      </w:r>
      <w:r>
        <w:rPr>
          <w:rFonts w:ascii="方正仿宋_GBK" w:hAnsi="方正仿宋_GBK" w:eastAsia="方正仿宋_GBK" w:cs="方正仿宋_GBK"/>
          <w:sz w:val="32"/>
          <w:szCs w:val="32"/>
          <w:shd w:val="clear" w:color="auto" w:fill="FFFFFF"/>
        </w:rPr>
        <w:t>%，较年初预算数减少1.48万元，下降0.80%，主要原因是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且本年因教师人数减少致人员经费减少，幼儿人数减少致公用经费减少。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31.01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13.26</w:t>
      </w:r>
      <w:r>
        <w:rPr>
          <w:rFonts w:ascii="方正仿宋_GBK" w:hAnsi="方正仿宋_GBK" w:eastAsia="方正仿宋_GBK" w:cs="方正仿宋_GBK"/>
          <w:sz w:val="32"/>
          <w:szCs w:val="32"/>
          <w:shd w:val="clear" w:color="auto" w:fill="FFFFFF"/>
        </w:rPr>
        <w:t>%，较年初预算数增加8.02万元，增长34.88%，主要原因是</w:t>
      </w:r>
      <w:r>
        <w:rPr>
          <w:rFonts w:ascii="方正仿宋_GBK" w:eastAsia="方正仿宋_GBK"/>
          <w:color w:val="000000"/>
          <w:sz w:val="32"/>
          <w:szCs w:val="32"/>
        </w:rPr>
        <w:t>本年度预算执行中</w:t>
      </w:r>
      <w:r>
        <w:rPr>
          <w:rFonts w:hint="eastAsia" w:ascii="方正仿宋_GBK" w:hAnsi="方正仿宋_GBK" w:eastAsia="方正仿宋_GBK" w:cs="方正仿宋_GBK"/>
          <w:color w:val="auto"/>
          <w:sz w:val="32"/>
          <w:szCs w:val="32"/>
          <w:shd w:val="clear" w:color="auto" w:fill="FFFFFF"/>
          <w:lang w:eastAsia="zh-CN"/>
        </w:rPr>
        <w:t>将超额绩效纳入养老保险和职业年金基数致社会保障与就业支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eastAsia="方正仿宋_GBK"/>
          <w:color w:val="000000"/>
          <w:sz w:val="32"/>
          <w:szCs w:val="32"/>
        </w:rPr>
        <w:t>调整年初预算</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3.76</w:t>
      </w:r>
      <w:r>
        <w:rPr>
          <w:rFonts w:ascii="方正仿宋_GBK" w:hAnsi="方正仿宋_GBK" w:eastAsia="方正仿宋_GBK" w:cs="方正仿宋_GBK"/>
          <w:sz w:val="32"/>
          <w:szCs w:val="32"/>
          <w:shd w:val="clear" w:color="auto" w:fill="FFFFFF"/>
        </w:rPr>
        <w:t>%，较年初预算数减少0.79万元，下降8.25%，</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致医疗保险支出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住房保障支出10.57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4.52</w:t>
      </w:r>
      <w:r>
        <w:rPr>
          <w:rFonts w:ascii="方正仿宋_GBK" w:hAnsi="方正仿宋_GBK" w:eastAsia="方正仿宋_GBK" w:cs="方正仿宋_GBK"/>
          <w:sz w:val="32"/>
          <w:szCs w:val="32"/>
          <w:shd w:val="clear" w:color="auto" w:fill="FFFFFF"/>
        </w:rPr>
        <w:t>%，较年初预算数减少0.93万元，下降8.09%，</w:t>
      </w:r>
      <w:r>
        <w:rPr>
          <w:rFonts w:ascii="方正仿宋_GBK" w:eastAsia="方正仿宋_GBK"/>
          <w:color w:val="000000"/>
          <w:sz w:val="32"/>
          <w:szCs w:val="32"/>
        </w:rPr>
        <w:t>主要原因是本年度预算执行中教职工</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致</w:t>
      </w:r>
      <w:r>
        <w:rPr>
          <w:rFonts w:ascii="方正仿宋_GBK" w:hAnsi="方正仿宋_GBK" w:eastAsia="方正仿宋_GBK" w:cs="方正仿宋_GBK"/>
          <w:sz w:val="32"/>
          <w:szCs w:val="32"/>
        </w:rPr>
        <w:t>住房保障支出</w:t>
      </w:r>
      <w:r>
        <w:rPr>
          <w:rFonts w:hint="eastAsia" w:ascii="方正仿宋_GBK" w:eastAsia="方正仿宋_GBK"/>
          <w:color w:val="000000"/>
          <w:sz w:val="32"/>
          <w:szCs w:val="32"/>
          <w:lang w:eastAsia="zh-CN"/>
        </w:rPr>
        <w:t>减少</w:t>
      </w:r>
      <w:r>
        <w:rPr>
          <w:rFonts w:ascii="方正仿宋_GBK" w:eastAsia="方正仿宋_GBK"/>
          <w:color w:val="000000"/>
          <w:sz w:val="32"/>
          <w:szCs w:val="32"/>
        </w:rPr>
        <w:t>调整年初预算。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195.82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192.85</w:t>
      </w:r>
      <w:r>
        <w:rPr>
          <w:rFonts w:ascii="方正仿宋_GBK" w:hAnsi="方正仿宋_GBK" w:eastAsia="方正仿宋_GBK" w:cs="方正仿宋_GBK"/>
          <w:sz w:val="32"/>
          <w:szCs w:val="32"/>
          <w:shd w:val="clear" w:color="auto" w:fill="FFFFFF"/>
        </w:rPr>
        <w:t>万元，与2023年度相比，增加10.13万元，增长5.54%，主要原因是</w:t>
      </w:r>
      <w:r>
        <w:rPr>
          <w:rFonts w:hint="eastAsia" w:ascii="方正仿宋_GBK" w:hAnsi="方正仿宋_GBK" w:eastAsia="方正仿宋_GBK" w:cs="方正仿宋_GBK"/>
          <w:sz w:val="32"/>
          <w:szCs w:val="32"/>
          <w:shd w:val="clear" w:color="auto" w:fill="FFFFFF"/>
        </w:rPr>
        <w:t>2023年清算补发以前年度超额绩效和健康休养费</w:t>
      </w:r>
      <w:r>
        <w:rPr>
          <w:rFonts w:hint="eastAsia" w:ascii="方正仿宋_GBK" w:hAnsi="方正仿宋_GBK" w:eastAsia="方正仿宋_GBK" w:cs="方正仿宋_GBK"/>
          <w:sz w:val="32"/>
          <w:szCs w:val="32"/>
          <w:shd w:val="clear" w:color="auto" w:fill="FFFFFF"/>
          <w:lang w:eastAsia="zh-CN"/>
        </w:rPr>
        <w:t>且本年因教师人数减少致人员经费减少</w:t>
      </w:r>
      <w:r>
        <w:rPr>
          <w:rFonts w:ascii="方正仿宋_GBK" w:hAnsi="方正仿宋_GBK" w:eastAsia="方正仿宋_GBK" w:cs="方正仿宋_GBK"/>
          <w:color w:val="auto"/>
          <w:sz w:val="32"/>
          <w:szCs w:val="32"/>
          <w:shd w:val="clear" w:color="auto" w:fill="FFFFFF"/>
        </w:rPr>
        <w:t>。</w:t>
      </w:r>
      <w:r>
        <w:rPr>
          <w:rFonts w:ascii="方正仿宋_GBK" w:eastAsia="方正仿宋_GBK"/>
          <w:color w:val="000000"/>
          <w:sz w:val="32"/>
          <w:szCs w:val="32"/>
        </w:rPr>
        <w:t>人员经费用途主要包括教师统发工资、绩效工资、社会保障和就业支出、医疗卫生支出和住房保障支出</w:t>
      </w:r>
      <w:r>
        <w:rPr>
          <w:rFonts w:hint="eastAsia" w:ascii="方正仿宋_GBK" w:eastAsia="方正仿宋_GBK"/>
          <w:color w:val="000000"/>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2.97</w:t>
      </w:r>
      <w:r>
        <w:rPr>
          <w:rFonts w:ascii="方正仿宋_GBK" w:hAnsi="方正仿宋_GBK" w:eastAsia="方正仿宋_GBK" w:cs="方正仿宋_GBK"/>
          <w:sz w:val="32"/>
          <w:szCs w:val="32"/>
          <w:shd w:val="clear" w:color="auto" w:fill="FFFFFF"/>
        </w:rPr>
        <w:t>万元，与2023年度相比，增加1.44万元，增长94.12%，</w:t>
      </w:r>
      <w:r>
        <w:rPr>
          <w:rFonts w:ascii="方正仿宋_GBK" w:eastAsia="方正仿宋_GBK"/>
          <w:color w:val="000000"/>
          <w:sz w:val="32"/>
          <w:szCs w:val="32"/>
        </w:rPr>
        <w:t>主要原因是本年因</w:t>
      </w:r>
      <w:r>
        <w:rPr>
          <w:rFonts w:hint="eastAsia" w:ascii="方正仿宋_GBK" w:eastAsia="方正仿宋_GBK"/>
          <w:color w:val="000000"/>
          <w:sz w:val="32"/>
          <w:szCs w:val="32"/>
          <w:lang w:eastAsia="zh-CN"/>
        </w:rPr>
        <w:t>培训费等增加</w:t>
      </w:r>
      <w:r>
        <w:rPr>
          <w:rFonts w:ascii="方正仿宋_GBK" w:eastAsia="方正仿宋_GBK"/>
          <w:color w:val="000000"/>
          <w:sz w:val="32"/>
          <w:szCs w:val="32"/>
        </w:rPr>
        <w:t>致公用经费</w:t>
      </w:r>
      <w:r>
        <w:rPr>
          <w:rFonts w:hint="eastAsia" w:ascii="方正仿宋_GBK" w:eastAsia="方正仿宋_GBK"/>
          <w:color w:val="000000"/>
          <w:sz w:val="32"/>
          <w:szCs w:val="32"/>
          <w:lang w:eastAsia="zh-CN"/>
        </w:rPr>
        <w:t>增加</w:t>
      </w:r>
      <w:r>
        <w:rPr>
          <w:rFonts w:ascii="方正仿宋_GBK" w:eastAsia="方正仿宋_GBK"/>
          <w:color w:val="000000"/>
          <w:sz w:val="32"/>
          <w:szCs w:val="32"/>
        </w:rPr>
        <w:t>。</w:t>
      </w:r>
      <w:r>
        <w:rPr>
          <w:rFonts w:ascii="方正仿宋_GBK" w:hAnsi="方正仿宋_GBK" w:eastAsia="方正仿宋_GBK" w:cs="方正仿宋_GBK"/>
          <w:sz w:val="32"/>
          <w:szCs w:val="32"/>
          <w:shd w:val="clear" w:color="auto" w:fill="FFFFFF"/>
        </w:rPr>
        <w:t>公用经费用途主要包括学校正常运行的</w:t>
      </w:r>
      <w:r>
        <w:rPr>
          <w:rFonts w:hint="eastAsia" w:ascii="方正仿宋_GBK" w:hAnsi="方正仿宋_GBK" w:eastAsia="方正仿宋_GBK" w:cs="方正仿宋_GBK"/>
          <w:sz w:val="32"/>
          <w:szCs w:val="32"/>
          <w:shd w:val="clear" w:color="auto" w:fill="FFFFFF"/>
          <w:lang w:eastAsia="zh-CN"/>
        </w:rPr>
        <w:t>培训费、工会经费及福利费</w:t>
      </w:r>
      <w:r>
        <w:rPr>
          <w:rFonts w:ascii="方正仿宋_GBK" w:hAnsi="方正仿宋_GBK" w:eastAsia="方正仿宋_GBK" w:cs="方正仿宋_GBK"/>
          <w:sz w:val="32"/>
          <w:szCs w:val="32"/>
          <w:shd w:val="clear" w:color="auto" w:fill="FFFFFF"/>
        </w:rPr>
        <w:t>等支出</w:t>
      </w:r>
      <w:r>
        <w:rPr>
          <w:rFonts w:hint="eastAsia" w:ascii="方正仿宋_GBK" w:hAnsi="方正仿宋_GBK" w:eastAsia="方正仿宋_GBK" w:cs="方正仿宋_GBK"/>
          <w:sz w:val="32"/>
          <w:szCs w:val="32"/>
          <w:shd w:val="clear" w:color="auto" w:fill="FFFFFF"/>
          <w:lang w:eastAsia="zh-CN"/>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w:t>
      </w:r>
      <w:r>
        <w:rPr>
          <w:rFonts w:ascii="方正仿宋_GBK" w:hAnsi="方正仿宋_GBK" w:eastAsia="方正仿宋_GBK" w:cs="方正仿宋_GBK"/>
          <w:color w:val="auto"/>
          <w:sz w:val="32"/>
          <w:szCs w:val="32"/>
          <w:shd w:val="clear" w:color="auto" w:fill="FFFFFF"/>
        </w:rPr>
        <w:t>年度相比，无增减，主要原因是</w:t>
      </w:r>
      <w:r>
        <w:rPr>
          <w:rFonts w:hint="eastAsia" w:ascii="方正仿宋_GBK" w:hAnsi="方正仿宋_GBK" w:eastAsia="方正仿宋_GBK" w:cs="方正仿宋_GBK"/>
          <w:color w:val="auto"/>
          <w:sz w:val="32"/>
          <w:szCs w:val="32"/>
          <w:shd w:val="clear" w:color="auto" w:fill="FFFFFF"/>
        </w:rPr>
        <w:t>本单位2024年度无政府性基金预算财政拨款收支。</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rPr>
        <w:t>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keepNext w:val="0"/>
        <w:keepLines w:val="0"/>
        <w:pageBreakBefore w:val="0"/>
        <w:widowControl/>
        <w:kinsoku/>
        <w:wordWrap/>
        <w:overflowPunct/>
        <w:topLinePunct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color w:val="000000"/>
          <w:sz w:val="32"/>
          <w:szCs w:val="32"/>
        </w:rPr>
        <w:t>主要原因是上年和本年均未发生会议费支出</w:t>
      </w:r>
      <w:r>
        <w:rPr>
          <w:rFonts w:ascii="方正仿宋_GBK" w:hAnsi="方正仿宋_GBK" w:eastAsia="方正仿宋_GBK" w:cs="方正仿宋_GBK"/>
          <w:color w:val="00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0.41</w:t>
      </w:r>
      <w:r>
        <w:rPr>
          <w:rFonts w:ascii="方正仿宋_GBK" w:hAnsi="方正仿宋_GBK" w:eastAsia="方正仿宋_GBK" w:cs="方正仿宋_GBK"/>
          <w:sz w:val="32"/>
          <w:szCs w:val="32"/>
          <w:shd w:val="clear" w:color="auto" w:fill="FFFFFF"/>
        </w:rPr>
        <w:t>万元，与2023年度相比，增加0.08万元，增长24.24%，</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w:t>
      </w:r>
      <w:r>
        <w:rPr>
          <w:rFonts w:hint="eastAsia" w:ascii="方正仿宋_GBK" w:hAnsi="方正仿宋_GBK" w:eastAsia="方正仿宋_GBK" w:cs="方正仿宋_GBK"/>
          <w:sz w:val="32"/>
          <w:szCs w:val="32"/>
          <w:shd w:val="clear" w:color="auto" w:fill="FFFFFF"/>
        </w:rPr>
        <w:t>学校</w:t>
      </w:r>
      <w:r>
        <w:rPr>
          <w:rFonts w:hint="eastAsia" w:ascii="方正仿宋_GBK" w:hAnsi="方正仿宋_GBK" w:eastAsia="方正仿宋_GBK" w:cs="方正仿宋_GBK"/>
          <w:sz w:val="32"/>
          <w:szCs w:val="32"/>
          <w:shd w:val="clear" w:color="auto" w:fill="FFFFFF"/>
          <w:lang w:eastAsia="zh-CN"/>
        </w:rPr>
        <w:t>加大教职工培训力度致培训费增加</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五、2024年度</w:t>
      </w:r>
      <w:r>
        <w:rPr>
          <w:rStyle w:val="10"/>
          <w:rFonts w:hint="eastAsia" w:ascii="方正黑体_GBK" w:hAnsi="方正黑体_GBK" w:eastAsia="方正黑体_GBK" w:cs="方正黑体_GBK"/>
          <w:b w:val="0"/>
          <w:bCs/>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napToGrid/>
        <w:spacing w:line="600" w:lineRule="exact"/>
        <w:ind w:firstLine="643"/>
        <w:textAlignment w:val="auto"/>
        <w:rPr>
          <w:rFonts w:ascii="方正楷体_GBK" w:hAnsi="楷体" w:eastAsia="方正楷体_GBK" w:cs="楷体"/>
          <w:b/>
          <w:bCs/>
          <w:color w:val="000000"/>
          <w:sz w:val="32"/>
          <w:szCs w:val="32"/>
          <w:shd w:val="clear" w:color="auto" w:fill="FFFFFF"/>
          <w:lang w:bidi="ar"/>
        </w:rPr>
      </w:pPr>
      <w:r>
        <w:rPr>
          <w:rFonts w:hint="eastAsia" w:ascii="方正楷体_GBK" w:hAnsi="楷体" w:eastAsia="方正楷体_GBK" w:cs="楷体"/>
          <w:b/>
          <w:bCs/>
          <w:color w:val="000000"/>
          <w:sz w:val="32"/>
          <w:szCs w:val="32"/>
          <w:shd w:val="clear" w:color="auto" w:fill="FFFFFF"/>
          <w:lang w:bidi="ar"/>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sz w:val="32"/>
          <w:szCs w:val="32"/>
          <w:shd w:val="clear" w:color="auto" w:fill="FFFFFF"/>
        </w:rPr>
        <w:t>根据预算绩效管理要求，我单位对</w:t>
      </w:r>
      <w:r>
        <w:rPr>
          <w:rFonts w:hint="eastAsia" w:ascii="方正仿宋_GBK" w:hAnsi="方正仿宋_GBK" w:eastAsia="方正仿宋_GBK" w:cs="方正仿宋_GBK"/>
          <w:color w:val="000000"/>
          <w:sz w:val="32"/>
          <w:szCs w:val="32"/>
          <w:shd w:val="clear" w:color="auto" w:fill="FFFFFF"/>
          <w:lang w:val="en-US" w:eastAsia="zh-CN"/>
        </w:rPr>
        <w:t>5</w:t>
      </w:r>
      <w:r>
        <w:rPr>
          <w:rFonts w:hint="eastAsia" w:ascii="方正仿宋_GBK" w:hAnsi="方正仿宋_GBK" w:eastAsia="方正仿宋_GBK" w:cs="方正仿宋_GBK"/>
          <w:color w:val="000000"/>
          <w:sz w:val="32"/>
          <w:szCs w:val="32"/>
          <w:shd w:val="clear" w:color="auto" w:fill="FFFFFF"/>
        </w:rPr>
        <w:t>个二级项目开展了绩效自评，涉及财政拨款项目支出资金</w:t>
      </w:r>
      <w:r>
        <w:rPr>
          <w:rFonts w:hint="eastAsia" w:ascii="方正仿宋_GBK" w:hAnsi="方正仿宋_GBK" w:eastAsia="方正仿宋_GBK" w:cs="方正仿宋_GBK"/>
          <w:color w:val="000000"/>
          <w:sz w:val="32"/>
          <w:szCs w:val="32"/>
          <w:shd w:val="clear" w:color="auto" w:fill="FFFFFF"/>
          <w:lang w:val="en-US" w:eastAsia="zh-CN"/>
        </w:rPr>
        <w:t>37.98</w:t>
      </w:r>
      <w:r>
        <w:rPr>
          <w:rFonts w:hint="eastAsia" w:ascii="方正仿宋_GBK" w:hAnsi="方正仿宋_GBK" w:eastAsia="方正仿宋_GBK" w:cs="方正仿宋_GBK"/>
          <w:color w:val="000000"/>
          <w:sz w:val="32"/>
          <w:szCs w:val="32"/>
          <w:shd w:val="clear" w:color="auto" w:fill="FFFFFF"/>
        </w:rPr>
        <w:t>万元。</w:t>
      </w:r>
    </w:p>
    <w:p>
      <w:pPr>
        <w:rPr>
          <w:rFonts w:hint="default" w:ascii="楷体" w:hAnsi="楷体" w:eastAsia="楷体" w:cs="宋体"/>
          <w:b/>
          <w:bCs/>
          <w:color w:val="000000"/>
          <w:sz w:val="32"/>
          <w:szCs w:val="32"/>
          <w:highlight w:val="red"/>
          <w:shd w:val="clear" w:color="auto" w:fill="FFFFFF"/>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434965" cy="4872355"/>
            <wp:effectExtent l="0" t="0" r="3810" b="44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434965" cy="4872355"/>
                    </a:xfrm>
                    <a:prstGeom prst="rect">
                      <a:avLst/>
                    </a:prstGeom>
                    <a:noFill/>
                    <a:ln>
                      <a:noFill/>
                    </a:ln>
                  </pic:spPr>
                </pic:pic>
              </a:graphicData>
            </a:graphic>
          </wp:inline>
        </w:drawing>
      </w:r>
      <w:r>
        <w:drawing>
          <wp:inline distT="0" distB="0" distL="114300" distR="114300">
            <wp:extent cx="5345430" cy="4946015"/>
            <wp:effectExtent l="0" t="0" r="762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34543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（三）财政绩效评价情况</w:t>
      </w:r>
    </w:p>
    <w:p>
      <w:pPr>
        <w:pStyle w:val="11"/>
        <w:autoSpaceDE w:val="0"/>
        <w:ind w:firstLine="64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10"/>
          <w:rFonts w:hint="default"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w:t>
      </w:r>
      <w:bookmarkStart w:id="0" w:name="_GoBack"/>
      <w:bookmarkEnd w:id="0"/>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胡老师   023-74575186</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垫江县沙坪中心幼儿园</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233.80</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151.59</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36.08</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421.47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427.97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427.97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垫江县沙坪中心幼儿园</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421.47</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233.80</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151.59</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151.59</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36.08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371.10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183.43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151.59</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151.59</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370.70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183.02</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151.59</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151.59</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370.70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183.02</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151.59</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151.59</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20.72</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20.72</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垫江县沙坪中心幼儿园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383.33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333.91</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49.42</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332.96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283.54</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332.56</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283.13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49.42</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332.56</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283.13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49.42</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20.72</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20.72</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10.57</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垫江县沙坪中心幼儿园</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183.43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183.43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233.80</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233.80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垫江县沙坪中心幼儿园</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233.80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195.82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37.98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183.43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145.45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145.05</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183.02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145.05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31.01</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20.72</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20.72</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8.79</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10.57</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10.57</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垫江县沙坪中心幼儿园</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192.85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86.60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20.72</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192.85</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垫江县沙坪中心幼儿园</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垫江县沙坪中心幼儿园</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垫江县沙坪中心幼儿园</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0.41</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2A078C5"/>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DD01D9"/>
    <w:rsid w:val="13FD55AB"/>
    <w:rsid w:val="14200702"/>
    <w:rsid w:val="15405FD5"/>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5F65320"/>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0B70FD4"/>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28065D"/>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10D2E"/>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DF5945"/>
    <w:rsid w:val="5CF66BF3"/>
    <w:rsid w:val="5D290C69"/>
    <w:rsid w:val="5F2D4A41"/>
    <w:rsid w:val="60C74F6C"/>
    <w:rsid w:val="61025A59"/>
    <w:rsid w:val="613D5BBC"/>
    <w:rsid w:val="61536C39"/>
    <w:rsid w:val="61F509FD"/>
    <w:rsid w:val="62944DD7"/>
    <w:rsid w:val="6319381F"/>
    <w:rsid w:val="63C25DC5"/>
    <w:rsid w:val="63C62057"/>
    <w:rsid w:val="64571EF5"/>
    <w:rsid w:val="64FB113D"/>
    <w:rsid w:val="656152C6"/>
    <w:rsid w:val="6587477F"/>
    <w:rsid w:val="658C3A08"/>
    <w:rsid w:val="659A75E7"/>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msolist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5655</Words>
  <Characters>6734</Characters>
  <Lines>190</Lines>
  <Paragraphs>53</Paragraphs>
  <TotalTime>210</TotalTime>
  <ScaleCrop>false</ScaleCrop>
  <LinksUpToDate>false</LinksUpToDate>
  <CharactersWithSpaces>6917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2025-09-22T09:20:14Z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