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垫江县沙坪小学校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2024年</w:t>
      </w:r>
      <w:r>
        <w:rPr>
          <w:rFonts w:ascii="方正小标宋_GBK" w:hAnsi="方正小标宋_GBK" w:eastAsia="方正小标宋_GBK" w:cs="方正小标宋_GBK"/>
          <w:sz w:val="44"/>
          <w:szCs w:val="44"/>
        </w:rPr>
        <w:t>度决算公开说明</w:t>
      </w:r>
    </w:p>
    <w:p>
      <w:pPr>
        <w:spacing w:line="600" w:lineRule="exact"/>
        <w:ind w:firstLine="640" w:firstLineChars="200"/>
        <w:rPr>
          <w:rFonts w:hint="eastAsia" w:ascii="方正黑体_GBK" w:hAnsi="黑体" w:eastAsia="方正黑体_GBK" w:cs="仿宋_GB2312"/>
          <w:sz w:val="32"/>
        </w:rPr>
      </w:pPr>
    </w:p>
    <w:p>
      <w:pPr>
        <w:spacing w:line="600" w:lineRule="exact"/>
        <w:ind w:firstLine="640" w:firstLineChars="200"/>
        <w:rPr>
          <w:rFonts w:ascii="方正黑体_GBK" w:hAnsi="黑体" w:eastAsia="方正黑体_GBK" w:cs="仿宋_GB2312"/>
          <w:sz w:val="32"/>
        </w:rPr>
      </w:pPr>
      <w:r>
        <w:rPr>
          <w:rFonts w:hint="eastAsia" w:ascii="方正黑体_GBK" w:hAnsi="黑体" w:eastAsia="方正黑体_GBK" w:cs="仿宋_GB2312"/>
          <w:sz w:val="32"/>
        </w:rPr>
        <w:t>一、单位基本情况</w:t>
      </w:r>
    </w:p>
    <w:p>
      <w:pPr>
        <w:spacing w:line="600" w:lineRule="exact"/>
        <w:ind w:firstLine="643" w:firstLineChars="200"/>
        <w:rPr>
          <w:rFonts w:eastAsia="方正楷体_GBK"/>
          <w:b/>
          <w:bCs/>
          <w:sz w:val="32"/>
          <w:szCs w:val="32"/>
        </w:rPr>
      </w:pPr>
      <w:r>
        <w:rPr>
          <w:rFonts w:eastAsia="方正楷体_GBK"/>
          <w:b/>
          <w:bCs/>
          <w:sz w:val="32"/>
          <w:szCs w:val="32"/>
        </w:rPr>
        <w:t>（一）职能职责</w:t>
      </w:r>
    </w:p>
    <w:p>
      <w:pPr>
        <w:tabs>
          <w:tab w:val="center" w:pos="4153"/>
          <w:tab w:val="left" w:pos="7275"/>
        </w:tabs>
        <w:spacing w:line="576" w:lineRule="exact"/>
        <w:ind w:firstLine="640" w:firstLineChars="200"/>
        <w:rPr>
          <w:rFonts w:eastAsia="方正仿宋_GBK"/>
          <w:sz w:val="32"/>
          <w:szCs w:val="32"/>
        </w:rPr>
      </w:pPr>
      <w:r>
        <w:rPr>
          <w:rFonts w:eastAsia="方正仿宋_GBK"/>
          <w:sz w:val="32"/>
          <w:szCs w:val="20"/>
        </w:rPr>
        <w:t>1</w:t>
      </w:r>
      <w:r>
        <w:rPr>
          <w:rFonts w:hint="eastAsia" w:eastAsia="方正仿宋_GBK"/>
          <w:sz w:val="32"/>
          <w:szCs w:val="20"/>
          <w:lang w:val="en-US" w:eastAsia="zh-CN"/>
        </w:rPr>
        <w:t>.</w:t>
      </w:r>
      <w:r>
        <w:rPr>
          <w:rFonts w:eastAsia="方正仿宋_GBK"/>
          <w:sz w:val="32"/>
          <w:szCs w:val="32"/>
        </w:rPr>
        <w:t>负责辖区适龄儿童义务教育工作</w:t>
      </w:r>
      <w:r>
        <w:rPr>
          <w:rFonts w:eastAsia="方正仿宋_GBK"/>
          <w:sz w:val="32"/>
          <w:szCs w:val="20"/>
        </w:rPr>
        <w:t>。</w:t>
      </w:r>
    </w:p>
    <w:p>
      <w:pPr>
        <w:tabs>
          <w:tab w:val="center" w:pos="4153"/>
          <w:tab w:val="left" w:pos="7275"/>
        </w:tabs>
        <w:spacing w:line="576" w:lineRule="exact"/>
        <w:ind w:firstLine="640" w:firstLineChars="200"/>
        <w:rPr>
          <w:rFonts w:eastAsia="方正仿宋_GBK"/>
          <w:sz w:val="32"/>
          <w:szCs w:val="32"/>
        </w:rPr>
      </w:pPr>
      <w:r>
        <w:rPr>
          <w:rFonts w:eastAsia="方正仿宋_GBK"/>
          <w:sz w:val="32"/>
          <w:szCs w:val="20"/>
        </w:rPr>
        <w:t>2</w:t>
      </w:r>
      <w:r>
        <w:rPr>
          <w:rFonts w:hint="eastAsia" w:eastAsia="方正仿宋_GBK"/>
          <w:sz w:val="32"/>
          <w:szCs w:val="20"/>
          <w:lang w:val="en-US" w:eastAsia="zh-CN"/>
        </w:rPr>
        <w:t>.</w:t>
      </w:r>
      <w:r>
        <w:rPr>
          <w:rFonts w:eastAsia="方正仿宋_GBK"/>
          <w:sz w:val="32"/>
          <w:szCs w:val="32"/>
        </w:rPr>
        <w:t>负责辖区学前儿童教育与保育工作。</w:t>
      </w:r>
    </w:p>
    <w:p>
      <w:pPr>
        <w:tabs>
          <w:tab w:val="center" w:pos="4153"/>
          <w:tab w:val="left" w:pos="7275"/>
        </w:tabs>
        <w:spacing w:line="576" w:lineRule="exact"/>
        <w:ind w:firstLine="640" w:firstLineChars="200"/>
        <w:rPr>
          <w:rFonts w:eastAsia="方正仿宋_GBK"/>
          <w:sz w:val="32"/>
          <w:szCs w:val="32"/>
        </w:rPr>
      </w:pPr>
      <w:r>
        <w:rPr>
          <w:rFonts w:eastAsia="方正仿宋_GBK"/>
          <w:sz w:val="32"/>
          <w:szCs w:val="20"/>
        </w:rPr>
        <w:t>3</w:t>
      </w:r>
      <w:r>
        <w:rPr>
          <w:rFonts w:hint="eastAsia" w:eastAsia="方正仿宋_GBK"/>
          <w:sz w:val="32"/>
          <w:szCs w:val="20"/>
          <w:lang w:val="en-US" w:eastAsia="zh-CN"/>
        </w:rPr>
        <w:t>.</w:t>
      </w:r>
      <w:r>
        <w:rPr>
          <w:rFonts w:eastAsia="方正仿宋_GBK"/>
          <w:sz w:val="32"/>
          <w:szCs w:val="32"/>
        </w:rPr>
        <w:t>受县教育行政部门委托，负责所在乡镇各学校（不含直属学校），做好党的教育方针及教育法规贯彻落实，做好所在乡镇的义务教育，全面推进素质教育。</w:t>
      </w:r>
    </w:p>
    <w:p>
      <w:pPr>
        <w:tabs>
          <w:tab w:val="center" w:pos="4153"/>
          <w:tab w:val="left" w:pos="7275"/>
        </w:tabs>
        <w:spacing w:line="576" w:lineRule="exact"/>
        <w:ind w:firstLine="640" w:firstLineChars="200"/>
        <w:rPr>
          <w:rFonts w:eastAsia="方正仿宋_GBK"/>
          <w:sz w:val="32"/>
          <w:szCs w:val="32"/>
        </w:rPr>
      </w:pPr>
      <w:r>
        <w:rPr>
          <w:rFonts w:eastAsia="方正仿宋_GBK"/>
          <w:sz w:val="32"/>
          <w:szCs w:val="20"/>
        </w:rPr>
        <w:t>4</w:t>
      </w:r>
      <w:r>
        <w:rPr>
          <w:rFonts w:hint="eastAsia" w:eastAsia="方正仿宋_GBK"/>
          <w:sz w:val="32"/>
          <w:szCs w:val="20"/>
          <w:lang w:val="en-US" w:eastAsia="zh-CN"/>
        </w:rPr>
        <w:t>.</w:t>
      </w:r>
      <w:r>
        <w:rPr>
          <w:rFonts w:eastAsia="方正仿宋_GBK"/>
          <w:sz w:val="32"/>
          <w:szCs w:val="32"/>
        </w:rPr>
        <w:t>制定并实施本乡镇教育发展规划。</w:t>
      </w:r>
    </w:p>
    <w:p>
      <w:pPr>
        <w:tabs>
          <w:tab w:val="center" w:pos="4153"/>
          <w:tab w:val="left" w:pos="7275"/>
        </w:tabs>
        <w:spacing w:line="576" w:lineRule="exact"/>
        <w:ind w:firstLine="640" w:firstLineChars="200"/>
        <w:rPr>
          <w:rFonts w:eastAsia="方正仿宋_GBK"/>
          <w:sz w:val="32"/>
          <w:szCs w:val="32"/>
        </w:rPr>
      </w:pPr>
      <w:r>
        <w:rPr>
          <w:rFonts w:eastAsia="方正仿宋_GBK"/>
          <w:sz w:val="32"/>
          <w:szCs w:val="20"/>
        </w:rPr>
        <w:t>5</w:t>
      </w:r>
      <w:r>
        <w:rPr>
          <w:rFonts w:hint="eastAsia" w:eastAsia="方正仿宋_GBK"/>
          <w:sz w:val="32"/>
          <w:szCs w:val="20"/>
          <w:lang w:val="en-US" w:eastAsia="zh-CN"/>
        </w:rPr>
        <w:t>.</w:t>
      </w:r>
      <w:r>
        <w:rPr>
          <w:rFonts w:eastAsia="方正仿宋_GBK"/>
          <w:sz w:val="32"/>
          <w:szCs w:val="32"/>
        </w:rPr>
        <w:t>负责学校教育教学、教育科研、师资队伍、学校经费收支与校产管理与指导；负责教育统计</w:t>
      </w:r>
      <w:r>
        <w:rPr>
          <w:rFonts w:eastAsia="方正仿宋_GBK"/>
          <w:sz w:val="32"/>
          <w:szCs w:val="20"/>
        </w:rPr>
        <w:t>。</w:t>
      </w:r>
    </w:p>
    <w:p>
      <w:pPr>
        <w:tabs>
          <w:tab w:val="center" w:pos="4153"/>
          <w:tab w:val="left" w:pos="7275"/>
        </w:tabs>
        <w:spacing w:line="576" w:lineRule="exact"/>
        <w:ind w:firstLine="640" w:firstLineChars="200"/>
        <w:rPr>
          <w:rFonts w:eastAsia="方正仿宋_GBK"/>
          <w:sz w:val="32"/>
          <w:szCs w:val="32"/>
        </w:rPr>
      </w:pPr>
      <w:r>
        <w:rPr>
          <w:rFonts w:eastAsia="方正仿宋_GBK"/>
          <w:sz w:val="32"/>
          <w:szCs w:val="20"/>
        </w:rPr>
        <w:t>6</w:t>
      </w:r>
      <w:r>
        <w:rPr>
          <w:rFonts w:hint="eastAsia" w:eastAsia="方正仿宋_GBK"/>
          <w:sz w:val="32"/>
          <w:szCs w:val="20"/>
          <w:lang w:val="en-US" w:eastAsia="zh-CN"/>
        </w:rPr>
        <w:t>.</w:t>
      </w:r>
      <w:r>
        <w:rPr>
          <w:rFonts w:eastAsia="方正仿宋_GBK"/>
          <w:sz w:val="32"/>
          <w:szCs w:val="32"/>
        </w:rPr>
        <w:t>负责学校卫生、安全、稳定工作。</w:t>
      </w:r>
    </w:p>
    <w:p>
      <w:pPr>
        <w:tabs>
          <w:tab w:val="center" w:pos="4153"/>
          <w:tab w:val="left" w:pos="7275"/>
        </w:tabs>
        <w:spacing w:line="576" w:lineRule="exact"/>
        <w:ind w:firstLine="640" w:firstLineChars="200"/>
        <w:rPr>
          <w:rFonts w:eastAsia="方正仿宋_GBK"/>
          <w:sz w:val="32"/>
          <w:szCs w:val="32"/>
        </w:rPr>
      </w:pPr>
      <w:r>
        <w:rPr>
          <w:rFonts w:eastAsia="方正仿宋_GBK"/>
          <w:sz w:val="32"/>
          <w:szCs w:val="32"/>
        </w:rPr>
        <w:t>7</w:t>
      </w:r>
      <w:r>
        <w:rPr>
          <w:rFonts w:hint="eastAsia" w:eastAsia="方正仿宋_GBK"/>
          <w:sz w:val="32"/>
          <w:szCs w:val="20"/>
          <w:lang w:val="en-US" w:eastAsia="zh-CN"/>
        </w:rPr>
        <w:t>.</w:t>
      </w:r>
      <w:r>
        <w:rPr>
          <w:rFonts w:eastAsia="方正仿宋_GBK"/>
          <w:sz w:val="32"/>
          <w:szCs w:val="32"/>
        </w:rPr>
        <w:t>负责落实其他工作。</w:t>
      </w:r>
    </w:p>
    <w:p>
      <w:pPr>
        <w:keepNext w:val="0"/>
        <w:keepLines w:val="0"/>
        <w:widowControl w:val="0"/>
        <w:suppressLineNumbers w:val="0"/>
        <w:spacing w:before="0" w:beforeAutospacing="0" w:after="0" w:afterAutospacing="0" w:line="576" w:lineRule="exact"/>
        <w:ind w:left="0" w:right="0" w:firstLine="640" w:firstLineChars="200"/>
        <w:jc w:val="both"/>
        <w:rPr>
          <w:rFonts w:eastAsia="方正仿宋_GBK"/>
          <w:sz w:val="32"/>
          <w:szCs w:val="32"/>
        </w:rPr>
      </w:pPr>
      <w:r>
        <w:rPr>
          <w:rFonts w:eastAsia="方正仿宋_GBK"/>
          <w:sz w:val="32"/>
          <w:szCs w:val="32"/>
        </w:rPr>
        <w:t>8</w:t>
      </w:r>
      <w:r>
        <w:rPr>
          <w:rFonts w:hint="eastAsia" w:eastAsia="方正仿宋_GBK"/>
          <w:sz w:val="32"/>
          <w:szCs w:val="20"/>
          <w:lang w:val="en-US" w:eastAsia="zh-CN"/>
        </w:rPr>
        <w:t>.</w:t>
      </w:r>
      <w:r>
        <w:rPr>
          <w:rFonts w:eastAsia="方正仿宋_GBK"/>
          <w:sz w:val="32"/>
          <w:szCs w:val="32"/>
        </w:rPr>
        <w:t>协助所在乡镇人民政府做好适龄青少年依法接受义务教育的工作。</w:t>
      </w:r>
    </w:p>
    <w:p>
      <w:pPr>
        <w:keepNext w:val="0"/>
        <w:keepLines w:val="0"/>
        <w:widowControl w:val="0"/>
        <w:suppressLineNumbers w:val="0"/>
        <w:spacing w:before="0" w:beforeAutospacing="0" w:after="0" w:afterAutospacing="0" w:line="576" w:lineRule="exact"/>
        <w:ind w:left="0" w:right="0" w:firstLine="643" w:firstLineChars="200"/>
        <w:jc w:val="both"/>
        <w:rPr>
          <w:rFonts w:hint="default" w:ascii="Times New Roman" w:hAnsi="Times New Roman" w:eastAsia="方正楷体_GBK" w:cs="Times New Roman"/>
          <w:b/>
          <w:bCs w:val="0"/>
          <w:kern w:val="2"/>
          <w:sz w:val="32"/>
          <w:szCs w:val="32"/>
        </w:rPr>
      </w:pPr>
      <w:r>
        <w:rPr>
          <w:rFonts w:hint="eastAsia" w:ascii="方正楷体_GBK" w:hAnsi="方正楷体_GBK" w:eastAsia="方正楷体_GBK" w:cs="方正楷体_GBK"/>
          <w:b/>
          <w:bCs w:val="0"/>
          <w:kern w:val="2"/>
          <w:sz w:val="32"/>
          <w:szCs w:val="32"/>
          <w:lang w:val="en-US" w:eastAsia="zh-CN" w:bidi="ar"/>
        </w:rPr>
        <w:t>（二）机构设置</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学校单位领导职数</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名</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校长</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名、副校长</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名</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，内设机构领导职数</w:t>
      </w: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名，学校内设机构四个，内设机构有德育处、教务处、教科处、后勤处。</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二、单位决算</w:t>
      </w:r>
      <w:r>
        <w:rPr>
          <w:rFonts w:hint="eastAsia" w:ascii="方正黑体_GBK" w:hAnsi="黑体" w:eastAsia="方正黑体_GBK" w:cs="仿宋_GB2312"/>
          <w:sz w:val="32"/>
          <w:lang w:eastAsia="zh-CN"/>
        </w:rPr>
        <w:t>收支</w:t>
      </w:r>
      <w:r>
        <w:rPr>
          <w:rFonts w:hint="eastAsia" w:ascii="方正黑体_GBK" w:hAnsi="黑体" w:eastAsia="方正黑体_GBK" w:cs="仿宋_GB2312"/>
          <w:sz w:val="32"/>
        </w:rPr>
        <w:t>情况说明</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度收入总计2758.77万元，支出总计</w:t>
      </w:r>
      <w:r>
        <w:rPr>
          <w:rFonts w:ascii="方正仿宋_GBK" w:hAnsi="方正仿宋_GBK" w:eastAsia="方正仿宋_GBK" w:cs="方正仿宋_GBK"/>
          <w:sz w:val="32"/>
          <w:szCs w:val="32"/>
        </w:rPr>
        <w:t>2758.77</w:t>
      </w:r>
      <w:r>
        <w:rPr>
          <w:rFonts w:ascii="方正仿宋_GBK" w:hAnsi="方正仿宋_GBK" w:eastAsia="方正仿宋_GBK" w:cs="方正仿宋_GBK"/>
          <w:sz w:val="32"/>
          <w:szCs w:val="32"/>
          <w:shd w:val="clear" w:color="auto" w:fill="FFFFFF"/>
        </w:rPr>
        <w:t>万元。收、支与2023年度相比，增加179.04万元，增长6.94%，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w:t>
      </w:r>
      <w:r>
        <w:rPr>
          <w:rFonts w:hint="eastAsia" w:ascii="方正仿宋_GBK" w:hAnsi="方正仿宋_GBK" w:eastAsia="方正仿宋_GBK" w:cs="方正仿宋_GBK"/>
          <w:color w:val="auto"/>
          <w:sz w:val="32"/>
          <w:szCs w:val="32"/>
          <w:shd w:val="clear" w:color="auto" w:fill="FFFFFF"/>
        </w:rPr>
        <w:t>追加部分项目征地相关费用</w:t>
      </w:r>
      <w:r>
        <w:rPr>
          <w:rFonts w:hint="eastAsia" w:ascii="方正仿宋_GBK" w:hAnsi="方正仿宋_GBK" w:eastAsia="方正仿宋_GBK" w:cs="方正仿宋_GBK"/>
          <w:color w:val="auto"/>
          <w:sz w:val="32"/>
          <w:szCs w:val="32"/>
          <w:shd w:val="clear" w:color="auto" w:fill="FFFFFF"/>
          <w:lang w:eastAsia="zh-CN"/>
        </w:rPr>
        <w:t>致政府性基金预算财政拨款增加</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度收入合计2758.77万元，与2023年度相比，增加239.00万元，增长9.48%，</w:t>
      </w:r>
      <w:r>
        <w:rPr>
          <w:rFonts w:hint="eastAsia" w:ascii="方正仿宋_GBK" w:hAnsi="方正仿宋_GBK" w:eastAsia="方正仿宋_GBK" w:cs="方正仿宋_GBK"/>
          <w:sz w:val="32"/>
          <w:szCs w:val="32"/>
          <w:shd w:val="clear" w:color="auto" w:fill="FFFFFF"/>
        </w:rPr>
        <w:t>主要原因是本年追加部分项目征地相关费用致政府性基金预算财政拨款增加。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2591.81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93.95</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166.96</w:t>
      </w:r>
      <w:r>
        <w:rPr>
          <w:rFonts w:ascii="方正仿宋_GBK" w:hAnsi="方正仿宋_GBK" w:eastAsia="方正仿宋_GBK" w:cs="方正仿宋_GBK"/>
          <w:sz w:val="32"/>
          <w:szCs w:val="32"/>
          <w:shd w:val="clear" w:color="auto" w:fill="FFFFFF"/>
        </w:rPr>
        <w:t>万元，占6.05%。此外，使用非财政拨款结余和专用结余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2743.21</w:t>
      </w:r>
      <w:r>
        <w:rPr>
          <w:rFonts w:ascii="方正仿宋_GBK" w:hAnsi="方正仿宋_GBK" w:eastAsia="方正仿宋_GBK" w:cs="方正仿宋_GBK"/>
          <w:sz w:val="32"/>
          <w:szCs w:val="32"/>
          <w:shd w:val="clear" w:color="auto" w:fill="FFFFFF"/>
        </w:rPr>
        <w:t>万元，与2023年度相比，增加239.97万元，增长9.59%，</w:t>
      </w:r>
      <w:r>
        <w:rPr>
          <w:rFonts w:hint="eastAsia" w:ascii="方正仿宋_GBK" w:hAnsi="方正仿宋_GBK" w:eastAsia="方正仿宋_GBK" w:cs="方正仿宋_GBK"/>
          <w:sz w:val="32"/>
          <w:szCs w:val="32"/>
          <w:shd w:val="clear" w:color="auto" w:fill="FFFFFF"/>
        </w:rPr>
        <w:t>主要原因是本年追加部分项目征地相关费用致政府性基金预算财政拨款</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2075.99</w:t>
      </w:r>
      <w:r>
        <w:rPr>
          <w:rFonts w:ascii="方正仿宋_GBK" w:hAnsi="方正仿宋_GBK" w:eastAsia="方正仿宋_GBK" w:cs="方正仿宋_GBK"/>
          <w:sz w:val="32"/>
          <w:szCs w:val="32"/>
          <w:shd w:val="clear" w:color="auto" w:fill="FFFFFF"/>
        </w:rPr>
        <w:t>万元，占75.68%；项目支出</w:t>
      </w:r>
      <w:r>
        <w:rPr>
          <w:rFonts w:ascii="方正仿宋_GBK" w:hAnsi="方正仿宋_GBK" w:eastAsia="方正仿宋_GBK" w:cs="方正仿宋_GBK"/>
          <w:sz w:val="32"/>
          <w:szCs w:val="32"/>
        </w:rPr>
        <w:t>667.22</w:t>
      </w:r>
      <w:r>
        <w:rPr>
          <w:rFonts w:ascii="方正仿宋_GBK" w:hAnsi="方正仿宋_GBK" w:eastAsia="方正仿宋_GBK" w:cs="方正仿宋_GBK"/>
          <w:sz w:val="32"/>
          <w:szCs w:val="32"/>
          <w:shd w:val="clear" w:color="auto" w:fill="FFFFFF"/>
        </w:rPr>
        <w:t>万元，占24.32%；经营支出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15.56</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auto"/>
          <w:sz w:val="32"/>
          <w:szCs w:val="32"/>
          <w:shd w:val="clear" w:color="auto" w:fill="FFFFFF"/>
        </w:rPr>
        <w:t>主要原因是2023年和2024年均无</w:t>
      </w:r>
      <w:r>
        <w:rPr>
          <w:rFonts w:hint="eastAsia" w:ascii="方正仿宋_GBK" w:hAnsi="方正仿宋_GBK" w:eastAsia="方正仿宋_GBK" w:cs="方正仿宋_GBK"/>
          <w:color w:val="auto"/>
          <w:sz w:val="32"/>
          <w:szCs w:val="32"/>
          <w:shd w:val="clear" w:color="auto" w:fill="FFFFFF"/>
          <w:lang w:eastAsia="zh-CN"/>
        </w:rPr>
        <w:t>年末</w:t>
      </w:r>
      <w:r>
        <w:rPr>
          <w:rFonts w:ascii="方正仿宋_GBK" w:hAnsi="方正仿宋_GBK" w:eastAsia="方正仿宋_GBK" w:cs="方正仿宋_GBK"/>
          <w:color w:val="auto"/>
          <w:sz w:val="32"/>
          <w:szCs w:val="32"/>
          <w:shd w:val="clear" w:color="auto" w:fill="FFFFFF"/>
        </w:rPr>
        <w:t>结转和结余。</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度财政拨款收、支总计2591.81万元。与202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年相比，财政拨款收、支总计各增加219.08万元，增长9.23%。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w:t>
      </w:r>
      <w:r>
        <w:rPr>
          <w:rFonts w:hint="eastAsia" w:ascii="方正仿宋_GBK" w:hAnsi="方正仿宋_GBK" w:eastAsia="方正仿宋_GBK" w:cs="方正仿宋_GBK"/>
          <w:color w:val="auto"/>
          <w:sz w:val="32"/>
          <w:szCs w:val="32"/>
          <w:shd w:val="clear" w:color="auto" w:fill="FFFFFF"/>
        </w:rPr>
        <w:t>追加部分项目征地相关费用</w:t>
      </w:r>
      <w:r>
        <w:rPr>
          <w:rFonts w:hint="eastAsia" w:ascii="方正仿宋_GBK" w:hAnsi="方正仿宋_GBK" w:eastAsia="方正仿宋_GBK" w:cs="方正仿宋_GBK"/>
          <w:color w:val="auto"/>
          <w:sz w:val="32"/>
          <w:szCs w:val="32"/>
          <w:shd w:val="clear" w:color="auto" w:fill="FFFFFF"/>
          <w:lang w:eastAsia="zh-CN"/>
        </w:rPr>
        <w:t>致政府性基金预算财政拨款增加</w:t>
      </w:r>
      <w:r>
        <w:rPr>
          <w:rFonts w:ascii="方正仿宋_GBK" w:hAnsi="方正仿宋_GBK" w:eastAsia="方正仿宋_GBK" w:cs="方正仿宋_GBK"/>
          <w:color w:val="auto"/>
          <w:sz w:val="32"/>
          <w:szCs w:val="32"/>
          <w:shd w:val="clear" w:color="auto" w:fill="FFFFFF"/>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2057.45</w:t>
      </w:r>
      <w:r>
        <w:rPr>
          <w:rFonts w:ascii="方正仿宋_GBK" w:hAnsi="方正仿宋_GBK" w:eastAsia="方正仿宋_GBK" w:cs="方正仿宋_GBK"/>
          <w:sz w:val="32"/>
          <w:szCs w:val="32"/>
          <w:shd w:val="clear" w:color="auto" w:fill="FFFFFF"/>
        </w:rPr>
        <w:t>万元，与2023年度相比，减少314.02万元，下降13.24%。主要原因是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较年初预算数增加206.52万元，增长11.16%。</w:t>
      </w:r>
      <w:r>
        <w:rPr>
          <w:rFonts w:hint="eastAsia" w:ascii="方正仿宋_GBK" w:hAnsi="方正仿宋_GBK" w:eastAsia="方正仿宋_GBK" w:cs="方正仿宋_GBK"/>
          <w:sz w:val="32"/>
          <w:szCs w:val="32"/>
          <w:shd w:val="clear" w:color="auto" w:fill="FFFFFF"/>
          <w:lang w:val="en-US" w:eastAsia="zh-CN" w:bidi="ar"/>
        </w:rPr>
        <w:t>主要原因是本年预算执行中教职工正常晋升、晋岗晋级及</w:t>
      </w:r>
      <w:r>
        <w:rPr>
          <w:rFonts w:hint="eastAsia" w:ascii="方正仿宋_GBK" w:hAnsi="宋体" w:eastAsia="方正仿宋_GBK" w:cs="Times New Roman"/>
          <w:sz w:val="32"/>
          <w:szCs w:val="32"/>
          <w:shd w:val="clear" w:color="auto" w:fill="FFFFFF"/>
          <w:lang w:val="en-US" w:eastAsia="zh-CN" w:bidi="ar"/>
        </w:rPr>
        <w:t>将超额绩效纳入养老保险和职业年金基数</w:t>
      </w:r>
      <w:r>
        <w:rPr>
          <w:rFonts w:hint="eastAsia" w:ascii="方正仿宋_GBK" w:hAnsi="方正仿宋_GBK" w:eastAsia="方正仿宋_GBK" w:cs="方正仿宋_GBK"/>
          <w:sz w:val="32"/>
          <w:szCs w:val="32"/>
          <w:shd w:val="clear" w:color="auto" w:fill="FFFFFF"/>
          <w:lang w:val="en-US" w:eastAsia="zh-CN" w:bidi="ar"/>
        </w:rPr>
        <w:t>等人员经费类基本支出增加。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2057.45</w:t>
      </w:r>
      <w:r>
        <w:rPr>
          <w:rFonts w:ascii="方正仿宋_GBK" w:hAnsi="方正仿宋_GBK" w:eastAsia="方正仿宋_GBK" w:cs="方正仿宋_GBK"/>
          <w:sz w:val="32"/>
          <w:szCs w:val="32"/>
          <w:shd w:val="clear" w:color="auto" w:fill="FFFFFF"/>
        </w:rPr>
        <w:t>万元，与2023年度相比，减少315.28万元，下降13.29%。主要原因是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较年初预算数增加206.52万元，增长11.16%。</w:t>
      </w:r>
      <w:r>
        <w:rPr>
          <w:rFonts w:hint="eastAsia" w:ascii="方正仿宋_GBK" w:hAnsi="方正仿宋_GBK" w:eastAsia="方正仿宋_GBK" w:cs="方正仿宋_GBK"/>
          <w:sz w:val="32"/>
          <w:szCs w:val="32"/>
          <w:shd w:val="clear" w:color="auto" w:fill="FFFFFF"/>
          <w:lang w:val="en-US" w:eastAsia="zh-CN" w:bidi="ar"/>
        </w:rPr>
        <w:t>主要原因是本年预算执行中教职工正常晋升、晋岗晋级及</w:t>
      </w:r>
      <w:r>
        <w:rPr>
          <w:rFonts w:hint="eastAsia" w:ascii="方正仿宋_GBK" w:hAnsi="宋体" w:eastAsia="方正仿宋_GBK" w:cs="Times New Roman"/>
          <w:sz w:val="32"/>
          <w:szCs w:val="32"/>
          <w:shd w:val="clear" w:color="auto" w:fill="FFFFFF"/>
          <w:lang w:val="en-US" w:eastAsia="zh-CN" w:bidi="ar"/>
        </w:rPr>
        <w:t>将超额绩效纳入养老保险和职业年金基数</w:t>
      </w:r>
      <w:r>
        <w:rPr>
          <w:rFonts w:hint="eastAsia" w:ascii="方正仿宋_GBK" w:hAnsi="方正仿宋_GBK" w:eastAsia="方正仿宋_GBK" w:cs="方正仿宋_GBK"/>
          <w:sz w:val="32"/>
          <w:szCs w:val="32"/>
          <w:shd w:val="clear" w:color="auto" w:fill="FFFFFF"/>
          <w:lang w:val="en-US" w:eastAsia="zh-CN" w:bidi="ar"/>
        </w:rPr>
        <w:t>等人员经费类基本支出增加</w:t>
      </w:r>
      <w:r>
        <w:rPr>
          <w:rFonts w:ascii="方正仿宋_GBK" w:eastAsia="方正仿宋_GBK"/>
          <w:color w:val="000000"/>
          <w:sz w:val="32"/>
          <w:szCs w:val="32"/>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000000"/>
          <w:sz w:val="32"/>
          <w:szCs w:val="32"/>
          <w:shd w:val="clear" w:color="auto" w:fill="FFFFFF"/>
        </w:rPr>
        <w:t>主要原因是本单位本年末无一般公共预算财政拨款结转和结余。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1445.71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70.27</w:t>
      </w:r>
      <w:r>
        <w:rPr>
          <w:rFonts w:ascii="方正仿宋_GBK" w:hAnsi="方正仿宋_GBK" w:eastAsia="方正仿宋_GBK" w:cs="方正仿宋_GBK"/>
          <w:sz w:val="32"/>
          <w:szCs w:val="32"/>
          <w:shd w:val="clear" w:color="auto" w:fill="FFFFFF"/>
        </w:rPr>
        <w:t>%，较年初预算数增加128.48万元，增长9.75%，</w:t>
      </w:r>
      <w:r>
        <w:rPr>
          <w:rFonts w:ascii="方正仿宋_GBK" w:eastAsia="方正仿宋_GBK"/>
          <w:color w:val="000000"/>
          <w:sz w:val="32"/>
          <w:szCs w:val="32"/>
        </w:rPr>
        <w:t>主要原因是教职工正常晋升、晋岗晋级等人员经费类基本支出增加。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448.00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21.77</w:t>
      </w:r>
      <w:r>
        <w:rPr>
          <w:rFonts w:ascii="方正仿宋_GBK" w:hAnsi="方正仿宋_GBK" w:eastAsia="方正仿宋_GBK" w:cs="方正仿宋_GBK"/>
          <w:sz w:val="32"/>
          <w:szCs w:val="32"/>
          <w:shd w:val="clear" w:color="auto" w:fill="FFFFFF"/>
        </w:rPr>
        <w:t>%，较年初预算数增加81.37万元，增长22.19%，主要原因是</w:t>
      </w:r>
      <w:r>
        <w:rPr>
          <w:rFonts w:ascii="方正仿宋_GBK" w:eastAsia="方正仿宋_GBK"/>
          <w:color w:val="000000"/>
          <w:sz w:val="32"/>
          <w:szCs w:val="32"/>
        </w:rPr>
        <w:t>本年度预算执行中</w:t>
      </w:r>
      <w:r>
        <w:rPr>
          <w:rFonts w:hint="eastAsia" w:ascii="方正仿宋_GBK" w:hAnsi="方正仿宋_GBK" w:eastAsia="方正仿宋_GBK" w:cs="方正仿宋_GBK"/>
          <w:color w:val="auto"/>
          <w:sz w:val="32"/>
          <w:szCs w:val="32"/>
          <w:shd w:val="clear" w:color="auto" w:fill="FFFFFF"/>
          <w:lang w:eastAsia="zh-CN"/>
        </w:rPr>
        <w:t>将超额绩效纳入养老保险和职业年金基数致社会保障与就业支</w:t>
      </w:r>
      <w:r>
        <w:rPr>
          <w:rFonts w:ascii="方正仿宋_GBK" w:hAnsi="方正仿宋_GBK" w:eastAsia="方正仿宋_GBK" w:cs="方正仿宋_GBK"/>
          <w:sz w:val="32"/>
          <w:szCs w:val="32"/>
          <w:shd w:val="clear" w:color="auto" w:fill="FFFFFF"/>
        </w:rPr>
        <w:t>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eastAsia="方正仿宋_GBK"/>
          <w:color w:val="000000"/>
          <w:sz w:val="32"/>
          <w:szCs w:val="32"/>
        </w:rPr>
        <w:t>调整年初预算</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74.64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3.63</w:t>
      </w:r>
      <w:r>
        <w:rPr>
          <w:rFonts w:ascii="方正仿宋_GBK" w:hAnsi="方正仿宋_GBK" w:eastAsia="方正仿宋_GBK" w:cs="方正仿宋_GBK"/>
          <w:sz w:val="32"/>
          <w:szCs w:val="32"/>
          <w:shd w:val="clear" w:color="auto" w:fill="FFFFFF"/>
        </w:rPr>
        <w:t>%，较年初预算数减少1.30万元，下降1.71%，</w:t>
      </w:r>
      <w:r>
        <w:rPr>
          <w:rFonts w:ascii="方正仿宋_GBK" w:eastAsia="方正仿宋_GBK"/>
          <w:color w:val="000000"/>
          <w:sz w:val="32"/>
          <w:szCs w:val="32"/>
        </w:rPr>
        <w:t>主要原因是本年度预算执行中教职工</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致医疗保险支出</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调整年初预算。</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住房保障支出89.10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4.33</w:t>
      </w:r>
      <w:r>
        <w:rPr>
          <w:rFonts w:ascii="方正仿宋_GBK" w:hAnsi="方正仿宋_GBK" w:eastAsia="方正仿宋_GBK" w:cs="方正仿宋_GBK"/>
          <w:sz w:val="32"/>
          <w:szCs w:val="32"/>
          <w:shd w:val="clear" w:color="auto" w:fill="FFFFFF"/>
        </w:rPr>
        <w:t>%，较年初预算数减少2.02万元，下降2.22%，</w:t>
      </w:r>
      <w:r>
        <w:rPr>
          <w:rFonts w:ascii="方正仿宋_GBK" w:eastAsia="方正仿宋_GBK"/>
          <w:color w:val="000000"/>
          <w:sz w:val="32"/>
          <w:szCs w:val="32"/>
        </w:rPr>
        <w:t>主要原因是本年度预算执行中教职工</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致</w:t>
      </w:r>
      <w:r>
        <w:rPr>
          <w:rFonts w:ascii="方正仿宋_GBK" w:hAnsi="方正仿宋_GBK" w:eastAsia="方正仿宋_GBK" w:cs="方正仿宋_GBK"/>
          <w:sz w:val="32"/>
          <w:szCs w:val="32"/>
        </w:rPr>
        <w:t>住房保障支出</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调整年初预算。</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1926.89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1894.69</w:t>
      </w:r>
      <w:r>
        <w:rPr>
          <w:rFonts w:ascii="方正仿宋_GBK" w:hAnsi="方正仿宋_GBK" w:eastAsia="方正仿宋_GBK" w:cs="方正仿宋_GBK"/>
          <w:sz w:val="32"/>
          <w:szCs w:val="32"/>
          <w:shd w:val="clear" w:color="auto" w:fill="FFFFFF"/>
        </w:rPr>
        <w:t>万元，与2023年度相比，减少278.49万元，下降12.81%，主要原因是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w:t>
      </w:r>
      <w:r>
        <w:rPr>
          <w:rFonts w:ascii="方正仿宋_GBK" w:hAnsi="方正仿宋_GBK" w:eastAsia="方正仿宋_GBK" w:cs="方正仿宋_GBK"/>
          <w:color w:val="auto"/>
          <w:sz w:val="32"/>
          <w:szCs w:val="32"/>
          <w:shd w:val="clear" w:color="auto" w:fill="FFFFFF"/>
        </w:rPr>
        <w:t>。</w:t>
      </w:r>
      <w:r>
        <w:rPr>
          <w:rFonts w:ascii="方正仿宋_GBK" w:eastAsia="方正仿宋_GBK"/>
          <w:color w:val="000000"/>
          <w:sz w:val="32"/>
          <w:szCs w:val="32"/>
        </w:rPr>
        <w:t>人员经费用途主要包括教师统发工资、绩效工资、社会保障和就业支出、医疗卫生支出和住房保障支出</w:t>
      </w:r>
      <w:r>
        <w:rPr>
          <w:rFonts w:hint="eastAsia" w:ascii="方正仿宋_GBK" w:eastAsia="方正仿宋_GBK"/>
          <w:color w:val="000000"/>
          <w:sz w:val="32"/>
          <w:szCs w:val="32"/>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32.20</w:t>
      </w:r>
      <w:r>
        <w:rPr>
          <w:rFonts w:ascii="方正仿宋_GBK" w:hAnsi="方正仿宋_GBK" w:eastAsia="方正仿宋_GBK" w:cs="方正仿宋_GBK"/>
          <w:sz w:val="32"/>
          <w:szCs w:val="32"/>
          <w:shd w:val="clear" w:color="auto" w:fill="FFFFFF"/>
        </w:rPr>
        <w:t>万元，与2023年度相比，减少4.32万元，下降11.83%，</w:t>
      </w:r>
      <w:r>
        <w:rPr>
          <w:rFonts w:ascii="方正仿宋_GBK" w:eastAsia="方正仿宋_GBK"/>
          <w:color w:val="000000"/>
          <w:sz w:val="32"/>
          <w:szCs w:val="32"/>
        </w:rPr>
        <w:t>主要原因是本年因学生人数减少致公用经费下降。</w:t>
      </w:r>
      <w:r>
        <w:rPr>
          <w:rFonts w:ascii="方正仿宋_GBK" w:hAnsi="方正仿宋_GBK" w:eastAsia="方正仿宋_GBK" w:cs="方正仿宋_GBK"/>
          <w:sz w:val="32"/>
          <w:szCs w:val="32"/>
          <w:shd w:val="clear" w:color="auto" w:fill="FFFFFF"/>
        </w:rPr>
        <w:t>公用经费用途主要包括学校正常运行的</w:t>
      </w:r>
      <w:r>
        <w:rPr>
          <w:rFonts w:hint="eastAsia" w:ascii="方正仿宋_GBK" w:hAnsi="方正仿宋_GBK" w:eastAsia="方正仿宋_GBK" w:cs="方正仿宋_GBK"/>
          <w:sz w:val="32"/>
          <w:szCs w:val="32"/>
          <w:shd w:val="clear" w:color="auto" w:fill="FFFFFF"/>
          <w:lang w:eastAsia="zh-CN"/>
        </w:rPr>
        <w:t>培训费、工会经费及福利费</w:t>
      </w:r>
      <w:r>
        <w:rPr>
          <w:rFonts w:ascii="方正仿宋_GBK" w:hAnsi="方正仿宋_GBK" w:eastAsia="方正仿宋_GBK" w:cs="方正仿宋_GBK"/>
          <w:sz w:val="32"/>
          <w:szCs w:val="32"/>
          <w:shd w:val="clear" w:color="auto" w:fill="FFFFFF"/>
        </w:rPr>
        <w:t>等支出</w:t>
      </w:r>
      <w:r>
        <w:rPr>
          <w:rFonts w:hint="eastAsia" w:ascii="方正仿宋_GBK" w:hAnsi="方正仿宋_GBK" w:eastAsia="方正仿宋_GBK" w:cs="方正仿宋_GBK"/>
          <w:sz w:val="32"/>
          <w:szCs w:val="32"/>
          <w:shd w:val="clear" w:color="auto" w:fill="FFFFFF"/>
          <w:lang w:eastAsia="zh-CN"/>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534.36</w:t>
      </w:r>
      <w:r>
        <w:rPr>
          <w:rFonts w:ascii="方正仿宋_GBK" w:hAnsi="方正仿宋_GBK" w:eastAsia="方正仿宋_GBK" w:cs="方正仿宋_GBK"/>
          <w:sz w:val="32"/>
          <w:szCs w:val="32"/>
          <w:shd w:val="clear" w:color="auto" w:fill="FFFFFF"/>
        </w:rPr>
        <w:t>万元，与2023年度相比，增加534.36万元，增长100.00%，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w:t>
      </w:r>
      <w:r>
        <w:rPr>
          <w:rFonts w:hint="eastAsia" w:ascii="方正仿宋_GBK" w:hAnsi="方正仿宋_GBK" w:eastAsia="方正仿宋_GBK" w:cs="方正仿宋_GBK"/>
          <w:color w:val="auto"/>
          <w:sz w:val="32"/>
          <w:szCs w:val="32"/>
          <w:shd w:val="clear" w:color="auto" w:fill="FFFFFF"/>
        </w:rPr>
        <w:t>追加部分项目征地相关费用</w:t>
      </w:r>
      <w:r>
        <w:rPr>
          <w:rFonts w:hint="eastAsia" w:ascii="方正仿宋_GBK" w:hAnsi="方正仿宋_GBK" w:eastAsia="方正仿宋_GBK" w:cs="方正仿宋_GBK"/>
          <w:color w:val="auto"/>
          <w:sz w:val="32"/>
          <w:szCs w:val="32"/>
          <w:shd w:val="clear" w:color="auto" w:fill="FFFFFF"/>
          <w:lang w:eastAsia="zh-CN"/>
        </w:rPr>
        <w:t>致政府性基金预算财政拨款增加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534.36</w:t>
      </w:r>
      <w:r>
        <w:rPr>
          <w:rFonts w:ascii="方正仿宋_GBK" w:hAnsi="方正仿宋_GBK" w:eastAsia="方正仿宋_GBK" w:cs="方正仿宋_GBK"/>
          <w:sz w:val="32"/>
          <w:szCs w:val="32"/>
          <w:shd w:val="clear" w:color="auto" w:fill="FFFFFF"/>
        </w:rPr>
        <w:t>万元，与2023年度相比，增加534.36万元，增长100.00%，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w:t>
      </w:r>
      <w:r>
        <w:rPr>
          <w:rFonts w:hint="eastAsia" w:ascii="方正仿宋_GBK" w:hAnsi="方正仿宋_GBK" w:eastAsia="方正仿宋_GBK" w:cs="方正仿宋_GBK"/>
          <w:color w:val="auto"/>
          <w:sz w:val="32"/>
          <w:szCs w:val="32"/>
          <w:shd w:val="clear" w:color="auto" w:fill="FFFFFF"/>
        </w:rPr>
        <w:t>追加部分项目征地相关费用</w:t>
      </w:r>
      <w:r>
        <w:rPr>
          <w:rFonts w:hint="eastAsia" w:ascii="方正仿宋_GBK" w:hAnsi="方正仿宋_GBK" w:eastAsia="方正仿宋_GBK" w:cs="方正仿宋_GBK"/>
          <w:color w:val="auto"/>
          <w:sz w:val="32"/>
          <w:szCs w:val="32"/>
          <w:shd w:val="clear" w:color="auto" w:fill="FFFFFF"/>
          <w:lang w:eastAsia="zh-CN"/>
        </w:rPr>
        <w:t>致政府性基金预算财政拨款增加</w:t>
      </w:r>
      <w:r>
        <w:rPr>
          <w:rFonts w:ascii="方正仿宋_GBK" w:hAnsi="方正仿宋_GBK" w:eastAsia="方正仿宋_GBK" w:cs="方正仿宋_GBK"/>
          <w:color w:val="auto"/>
          <w:sz w:val="32"/>
          <w:szCs w:val="32"/>
          <w:shd w:val="clear" w:color="auto" w:fill="FFFFFF"/>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四、其他需要说明的事项</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（一）财政拨款会议费和培训费情况说明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color w:val="000000"/>
          <w:sz w:val="32"/>
          <w:szCs w:val="32"/>
        </w:rPr>
        <w:t>主要原因是上年和本年均未发生会议费支出</w:t>
      </w:r>
      <w:r>
        <w:rPr>
          <w:rFonts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11.47</w:t>
      </w:r>
      <w:r>
        <w:rPr>
          <w:rFonts w:ascii="方正仿宋_GBK" w:hAnsi="方正仿宋_GBK" w:eastAsia="方正仿宋_GBK" w:cs="方正仿宋_GBK"/>
          <w:sz w:val="32"/>
          <w:szCs w:val="32"/>
          <w:shd w:val="clear" w:color="auto" w:fill="FFFFFF"/>
        </w:rPr>
        <w:t>万元，与2023年度相比，增加5.00万元，增长77.28%，</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rPr>
        <w:t>学校</w:t>
      </w:r>
      <w:r>
        <w:rPr>
          <w:rFonts w:hint="eastAsia" w:ascii="方正仿宋_GBK" w:hAnsi="方正仿宋_GBK" w:eastAsia="方正仿宋_GBK" w:cs="方正仿宋_GBK"/>
          <w:sz w:val="32"/>
          <w:szCs w:val="32"/>
          <w:shd w:val="clear" w:color="auto" w:fill="FFFFFF"/>
          <w:lang w:eastAsia="zh-CN"/>
        </w:rPr>
        <w:t>加大教职工培训力度致培训费增加</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五、2024年度</w:t>
      </w:r>
      <w:r>
        <w:rPr>
          <w:rStyle w:val="10"/>
          <w:rFonts w:hint="eastAsia" w:ascii="方正黑体_GBK" w:hAnsi="方正黑体_GBK" w:eastAsia="方正黑体_GBK" w:cs="方正黑体_GBK"/>
          <w:b w:val="0"/>
          <w:bCs/>
          <w:sz w:val="32"/>
          <w:szCs w:val="32"/>
          <w:shd w:val="clear" w:color="auto" w:fill="FFFFFF"/>
        </w:rPr>
        <w:t>预算绩效管理情况说明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color w:val="000000"/>
          <w:sz w:val="32"/>
          <w:szCs w:val="32"/>
          <w:shd w:val="clear" w:color="auto" w:fill="FFFFFF"/>
          <w:lang w:bidi="ar"/>
        </w:rPr>
      </w:pPr>
      <w:r>
        <w:rPr>
          <w:rFonts w:hint="eastAsia" w:ascii="方正楷体_GBK" w:hAnsi="楷体" w:eastAsia="方正楷体_GBK" w:cs="楷体"/>
          <w:b/>
          <w:bCs/>
          <w:color w:val="000000"/>
          <w:sz w:val="32"/>
          <w:szCs w:val="32"/>
          <w:shd w:val="clear" w:color="auto" w:fill="FFFFFF"/>
          <w:lang w:bidi="ar"/>
        </w:rPr>
        <w:t>（一）单位自评情况</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000000"/>
          <w:sz w:val="32"/>
          <w:szCs w:val="32"/>
          <w:shd w:val="clear" w:color="auto" w:fill="FFFFFF"/>
        </w:rPr>
        <w:t>根据预算绩效管理要求，我单位对</w:t>
      </w:r>
      <w:r>
        <w:rPr>
          <w:rFonts w:ascii="方正仿宋_GBK" w:hAnsi="方正仿宋_GBK" w:eastAsia="方正仿宋_GBK" w:cs="方正仿宋_GBK"/>
          <w:color w:val="000000"/>
          <w:sz w:val="32"/>
          <w:szCs w:val="32"/>
          <w:shd w:val="clear" w:color="auto" w:fill="FFFFFF"/>
        </w:rPr>
        <w:t>1</w:t>
      </w:r>
      <w:r>
        <w:rPr>
          <w:rFonts w:hint="eastAsia" w:ascii="方正仿宋_GBK" w:hAnsi="方正仿宋_GBK" w:eastAsia="方正仿宋_GBK" w:cs="方正仿宋_GBK"/>
          <w:color w:val="000000"/>
          <w:sz w:val="32"/>
          <w:szCs w:val="32"/>
          <w:shd w:val="clear" w:color="auto" w:fill="FFFFFF"/>
          <w:lang w:val="en-US" w:eastAsia="zh-CN"/>
        </w:rPr>
        <w:t>0</w:t>
      </w:r>
      <w:r>
        <w:rPr>
          <w:rFonts w:hint="eastAsia" w:ascii="方正仿宋_GBK" w:hAnsi="方正仿宋_GBK" w:eastAsia="方正仿宋_GBK" w:cs="方正仿宋_GBK"/>
          <w:color w:val="000000"/>
          <w:sz w:val="32"/>
          <w:szCs w:val="32"/>
          <w:shd w:val="clear" w:color="auto" w:fill="FFFFFF"/>
        </w:rPr>
        <w:t>个二级项目开展了绩效自评，涉及财政拨款项目支出资金</w:t>
      </w:r>
      <w:r>
        <w:rPr>
          <w:rFonts w:hint="eastAsia" w:ascii="方正仿宋_GBK" w:hAnsi="方正仿宋_GBK" w:eastAsia="方正仿宋_GBK" w:cs="方正仿宋_GBK"/>
          <w:color w:val="000000"/>
          <w:sz w:val="32"/>
          <w:szCs w:val="32"/>
          <w:shd w:val="clear" w:color="auto" w:fill="FFFFFF"/>
          <w:lang w:val="en-US" w:eastAsia="zh-CN"/>
        </w:rPr>
        <w:t>130.55</w:t>
      </w:r>
      <w:r>
        <w:rPr>
          <w:rFonts w:hint="eastAsia" w:ascii="方正仿宋_GBK" w:hAnsi="方正仿宋_GBK" w:eastAsia="方正仿宋_GBK" w:cs="方正仿宋_GBK"/>
          <w:color w:val="000000"/>
          <w:sz w:val="32"/>
          <w:szCs w:val="32"/>
          <w:shd w:val="clear" w:color="auto" w:fill="FFFFFF"/>
        </w:rPr>
        <w:t>万元。</w:t>
      </w:r>
    </w:p>
    <w:p>
      <w:pPr>
        <w:rPr>
          <w:rFonts w:hint="default"/>
        </w:rPr>
      </w:pPr>
      <w:r>
        <w:drawing>
          <wp:inline distT="0" distB="0" distL="114300" distR="114300">
            <wp:extent cx="5862320" cy="4938395"/>
            <wp:effectExtent l="0" t="0" r="5080" b="508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862320" cy="4938395"/>
                    </a:xfrm>
                    <a:prstGeom prst="rect">
                      <a:avLst/>
                    </a:prstGeom>
                    <a:noFill/>
                    <a:ln>
                      <a:noFill/>
                    </a:ln>
                  </pic:spPr>
                </pic:pic>
              </a:graphicData>
            </a:graphic>
          </wp:inline>
        </w:drawing>
      </w:r>
      <w:r>
        <w:t xml:space="preserve"> </w:t>
      </w:r>
    </w:p>
    <w:p>
      <w:pPr>
        <w:rPr>
          <w:rFonts w:hint="eastAsia" w:ascii="楷体" w:hAnsi="楷体" w:eastAsia="楷体" w:cs="宋体"/>
          <w:b/>
          <w:bCs/>
          <w:color w:val="000000"/>
          <w:sz w:val="32"/>
          <w:szCs w:val="32"/>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663565" cy="4946015"/>
            <wp:effectExtent l="0" t="0" r="381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663565"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（三）财政绩效评价情况</w:t>
      </w:r>
    </w:p>
    <w:p>
      <w:pPr>
        <w:pStyle w:val="11"/>
        <w:autoSpaceDE w:val="0"/>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县财政局未委托第三方对我单位开展绩效评价。</w:t>
      </w:r>
    </w:p>
    <w:p>
      <w:pPr>
        <w:pStyle w:val="6"/>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Style w:val="10"/>
          <w:rFonts w:hint="default"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w:t>
      </w:r>
      <w:bookmarkStart w:id="0" w:name="_GoBack"/>
      <w:bookmarkEnd w:id="0"/>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七、决算公开联系方式及信息反馈渠道</w:t>
      </w:r>
    </w:p>
    <w:p>
      <w:pPr>
        <w:pStyle w:val="11"/>
        <w:keepNext w:val="0"/>
        <w:keepLines w:val="0"/>
        <w:pageBreakBefore w:val="0"/>
        <w:widowControl/>
        <w:kinsoku/>
        <w:wordWrap/>
        <w:overflowPunct/>
        <w:topLinePunct w:val="0"/>
        <w:autoSpaceDE w:val="0"/>
        <w:autoSpaceDN/>
        <w:bidi w:val="0"/>
        <w:adjustRightInd/>
        <w:snapToGrid/>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keepNext w:val="0"/>
        <w:keepLines w:val="0"/>
        <w:pageBreakBefore w:val="0"/>
        <w:widowControl/>
        <w:kinsoku/>
        <w:wordWrap/>
        <w:overflowPunct/>
        <w:topLinePunct w:val="0"/>
        <w:autoSpaceDE w:val="0"/>
        <w:autoSpaceDN/>
        <w:bidi w:val="0"/>
        <w:adjustRightInd/>
        <w:snapToGrid/>
        <w:ind w:firstLine="640" w:firstLineChars="200"/>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rPr>
        <w:t xml:space="preserve">王老师   </w:t>
      </w:r>
      <w:r>
        <w:rPr>
          <w:rFonts w:ascii="方正仿宋_GBK" w:hAnsi="方正仿宋_GBK" w:eastAsia="方正仿宋_GBK" w:cs="方正仿宋_GBK"/>
          <w:sz w:val="32"/>
        </w:rPr>
        <w:t>023-74626966</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垫江县沙坪小学校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2,057.45</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534.36</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1,597.11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166.96</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2,758.77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2,743.21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2,758.77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2,758.77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53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垫江县沙坪小学校</w:t>
            </w:r>
          </w:p>
        </w:tc>
        <w:tc>
          <w:tcPr>
            <w:tcW w:w="13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53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52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40"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2,758.77</w:t>
            </w:r>
            <w:r>
              <w:rPr>
                <w:rFonts w:ascii="Times New Roman" w:hAnsi="Times New Roman"/>
                <w:b/>
                <w:color w:val="000000"/>
                <w:sz w:val="20"/>
                <w:u w:color="auto"/>
              </w:rPr>
              <w:t xml:space="preserve"> </w:t>
            </w:r>
          </w:p>
        </w:tc>
        <w:tc>
          <w:tcPr>
            <w:tcW w:w="1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2,591.81</w:t>
            </w:r>
            <w:r>
              <w:rPr>
                <w:rFonts w:ascii="Times New Roman" w:hAnsi="Times New Roman"/>
                <w:b/>
                <w:color w:val="000000"/>
                <w:sz w:val="20"/>
                <w:u w:color="auto"/>
              </w:rPr>
              <w:t xml:space="preserve"> </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166.96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1,612.67</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1,445.71</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166.96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1,609.19</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1,442.23</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166.96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1,609.19</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1,442.23</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448.00</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448.00</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448.00</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448.00</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176.85</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176.85</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88.44</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88.44</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182.71</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182.71</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74.64</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74.64</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74.64</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74.64</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74.64</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74.64</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534.36</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534.36</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534.36</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534.36</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534.36</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534.36</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630"/>
        <w:gridCol w:w="1637"/>
        <w:gridCol w:w="1686"/>
        <w:gridCol w:w="1619"/>
        <w:gridCol w:w="1552"/>
        <w:gridCol w:w="1687"/>
        <w:gridCol w:w="1930"/>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0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垫江县沙坪小学校 </w:t>
            </w: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0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6" w:hRule="exac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6" w:hRule="exac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2,743.21</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2,075.99</w:t>
            </w:r>
            <w:r>
              <w:rPr>
                <w:rFonts w:ascii="Times New Roman" w:hAnsi="Times New Roman"/>
                <w:b/>
                <w:color w:val="000000"/>
                <w:sz w:val="20"/>
                <w:u w:color="auto"/>
              </w:rPr>
              <w:t xml:space="preserve"> </w:t>
            </w:r>
          </w:p>
        </w:tc>
        <w:tc>
          <w:tcPr>
            <w:tcW w:w="16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667.22</w:t>
            </w:r>
            <w:r>
              <w:rPr>
                <w:rFonts w:ascii="Times New Roman" w:hAnsi="Times New Roman"/>
                <w:b/>
                <w:color w:val="000000"/>
                <w:sz w:val="20"/>
                <w:u w:color="auto"/>
              </w:rPr>
              <w:t xml:space="preserve"> </w:t>
            </w:r>
          </w:p>
        </w:tc>
        <w:tc>
          <w:tcPr>
            <w:tcW w:w="1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1,597.11</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1,464.75</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132.36</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1,593.64</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1,461.27</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132.36</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1,593.64</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1,461.27</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132.36</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448.00</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447.51</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448.00</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447.51</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176.85</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176.85</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88.44</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88.44</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182.71</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182.22</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74.64</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74.64</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74.64</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74.64</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74.64</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74.64</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534.36</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534.36</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534.36</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534.36</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534.36</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534.36</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垫江县沙坪小学校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2,057.45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534.36</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1,445.71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1,445.71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448.00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448.00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534.36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534.36</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89.10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89.10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2,591.81</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2,591.81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2,057.45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534.36</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2,591.81</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2,591.81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2,057.45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534.36</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垫江县沙坪小学校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2,057.45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1,926.89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130.55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1,445.71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1,315.64</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1,442.23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1,312.17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1,442.23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1,312.17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447.51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447.51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176.85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176.85</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88.44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88.44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182.71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182.22</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74.64</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74.64</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垫江县沙坪小学校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1,712.47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32.20</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408.91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799.02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176.85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89.10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182.22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171.82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1,894.69</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32.20</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594"/>
        <w:gridCol w:w="3630"/>
        <w:gridCol w:w="1659"/>
        <w:gridCol w:w="1659"/>
        <w:gridCol w:w="1659"/>
        <w:gridCol w:w="1660"/>
        <w:gridCol w:w="1725"/>
        <w:gridCol w:w="1792"/>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8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垫江县沙坪小学校</w:t>
            </w: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8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5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0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52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534.36</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534.36</w:t>
            </w:r>
            <w:r>
              <w:rPr>
                <w:rFonts w:ascii="Times New Roman" w:hAnsi="Times New Roman"/>
                <w:b/>
                <w:color w:val="000000"/>
                <w:sz w:val="20"/>
                <w:u w:color="auto"/>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534.36</w:t>
            </w:r>
            <w:r>
              <w:rPr>
                <w:rFonts w:ascii="Times New Roman" w:hAnsi="Times New Roman"/>
                <w:b/>
                <w:color w:val="000000"/>
                <w:sz w:val="20"/>
                <w:u w:color="auto"/>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534.36</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534.36</w:t>
            </w:r>
            <w:r>
              <w:rPr>
                <w:rFonts w:ascii="Times New Roman" w:hAnsi="Times New Roman"/>
                <w:b/>
                <w:color w:val="000000"/>
                <w:sz w:val="20"/>
                <w:u w:color="auto"/>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534.36</w:t>
            </w:r>
            <w:r>
              <w:rPr>
                <w:rFonts w:ascii="Times New Roman" w:hAnsi="Times New Roman"/>
                <w:b/>
                <w:color w:val="000000"/>
                <w:sz w:val="20"/>
                <w:u w:color="auto"/>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534.36</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534.36</w:t>
            </w:r>
            <w:r>
              <w:rPr>
                <w:rFonts w:ascii="Times New Roman" w:hAnsi="Times New Roman"/>
                <w:b/>
                <w:color w:val="000000"/>
                <w:sz w:val="20"/>
                <w:u w:color="auto"/>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534.36</w:t>
            </w:r>
            <w:r>
              <w:rPr>
                <w:rFonts w:ascii="Times New Roman" w:hAnsi="Times New Roman"/>
                <w:b/>
                <w:color w:val="000000"/>
                <w:sz w:val="20"/>
                <w:u w:color="auto"/>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534.36</w:t>
            </w:r>
            <w:r>
              <w:rPr>
                <w:rFonts w:ascii="Times New Roman" w:hAnsi="Times New Roman"/>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534.36</w:t>
            </w:r>
            <w:r>
              <w:rPr>
                <w:rFonts w:ascii="Times New Roman" w:hAnsi="Times New Roman"/>
                <w:color w:val="000000"/>
                <w:sz w:val="20"/>
                <w:u w:color="auto"/>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534.36</w:t>
            </w:r>
            <w:r>
              <w:rPr>
                <w:rFonts w:ascii="Times New Roman" w:hAnsi="Times New Roman"/>
                <w:color w:val="000000"/>
                <w:sz w:val="20"/>
                <w:u w:color="auto"/>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垫江县沙坪小学校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垫江县沙坪小学校</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11.47</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3.21</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205831"/>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AE25A31"/>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4C765AD"/>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BBA3B36"/>
    <w:rsid w:val="3C425A6B"/>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862E96"/>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4E5921"/>
    <w:rsid w:val="4A6F6675"/>
    <w:rsid w:val="4B135857"/>
    <w:rsid w:val="4B7951CB"/>
    <w:rsid w:val="4B7C315C"/>
    <w:rsid w:val="4DAC4ACA"/>
    <w:rsid w:val="4DBE01D2"/>
    <w:rsid w:val="4F0C6BA3"/>
    <w:rsid w:val="4F186D58"/>
    <w:rsid w:val="50F06B6E"/>
    <w:rsid w:val="51043B96"/>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83E7628"/>
    <w:rsid w:val="796D60A4"/>
    <w:rsid w:val="79A031D5"/>
    <w:rsid w:val="79FE5F3C"/>
    <w:rsid w:val="7A1525F7"/>
    <w:rsid w:val="7B420052"/>
    <w:rsid w:val="7BD06A28"/>
    <w:rsid w:val="7C3A7C0B"/>
    <w:rsid w:val="7C5248E4"/>
    <w:rsid w:val="7C566698"/>
    <w:rsid w:val="7C5866A3"/>
    <w:rsid w:val="7D7406BB"/>
    <w:rsid w:val="7DE94331"/>
    <w:rsid w:val="7F446A19"/>
    <w:rsid w:val="7F7452B9"/>
    <w:rsid w:val="7FD16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8874</Words>
  <Characters>11678</Characters>
  <Lines>190</Lines>
  <Paragraphs>53</Paragraphs>
  <TotalTime>23</TotalTime>
  <ScaleCrop>false</ScaleCrop>
  <LinksUpToDate>false</LinksUpToDate>
  <CharactersWithSpaces>12762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2025-09-22T08:02:57Z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