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垫江县凤山小学校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szCs w:val="32"/>
        </w:rPr>
      </w:pP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一、单位基本情况</w:t>
      </w:r>
    </w:p>
    <w:p>
      <w:pPr>
        <w:spacing w:line="600" w:lineRule="exact"/>
        <w:ind w:firstLine="643" w:firstLineChars="200"/>
        <w:rPr>
          <w:rFonts w:hint="default" w:eastAsia="方正楷体_GBK"/>
          <w:b/>
          <w:bCs/>
          <w:sz w:val="32"/>
          <w:szCs w:val="32"/>
        </w:rPr>
      </w:pPr>
      <w:r>
        <w:rPr>
          <w:rFonts w:eastAsia="方正楷体_GBK"/>
          <w:b/>
          <w:bCs/>
          <w:sz w:val="32"/>
          <w:szCs w:val="32"/>
        </w:rPr>
        <w:t>（一）职能职责</w:t>
      </w:r>
    </w:p>
    <w:p>
      <w:pPr>
        <w:spacing w:line="600" w:lineRule="exact"/>
        <w:ind w:firstLine="640" w:firstLineChars="200"/>
        <w:rPr>
          <w:rFonts w:hint="default" w:eastAsia="方正仿宋_GBK"/>
          <w:sz w:val="32"/>
          <w:szCs w:val="32"/>
        </w:rPr>
      </w:pPr>
      <w:r>
        <w:rPr>
          <w:rFonts w:eastAsia="方正仿宋_GBK"/>
          <w:sz w:val="32"/>
          <w:szCs w:val="32"/>
        </w:rPr>
        <w:t>实施小学义务教育。适龄儿童义务教育；全面推进素质教育；学校卫生、安全、稳定；学校经费与校产管理；师资队伍建设；学前儿童教育与保育，制定本区域教育发展规划。</w:t>
      </w:r>
    </w:p>
    <w:p>
      <w:pPr>
        <w:spacing w:line="600" w:lineRule="exact"/>
        <w:ind w:firstLine="643" w:firstLineChars="200"/>
        <w:rPr>
          <w:rFonts w:hAnsi="方正楷体_GBK" w:eastAsia="方正楷体_GBK"/>
          <w:b/>
          <w:sz w:val="32"/>
          <w:szCs w:val="32"/>
        </w:rPr>
      </w:pPr>
      <w:r>
        <w:rPr>
          <w:rFonts w:hAnsi="方正楷体_GBK" w:eastAsia="方正楷体_GBK"/>
          <w:b/>
          <w:sz w:val="32"/>
          <w:szCs w:val="32"/>
        </w:rPr>
        <w:t>（二）机构设置</w:t>
      </w:r>
    </w:p>
    <w:p>
      <w:pPr>
        <w:spacing w:line="600" w:lineRule="exact"/>
        <w:ind w:firstLine="640" w:firstLineChars="200"/>
        <w:rPr>
          <w:rFonts w:hint="default" w:eastAsia="方正楷体_GBK"/>
          <w:b/>
          <w:sz w:val="32"/>
          <w:szCs w:val="32"/>
        </w:rPr>
      </w:pPr>
      <w:r>
        <w:rPr>
          <w:rFonts w:eastAsia="方正仿宋_GBK"/>
          <w:sz w:val="32"/>
          <w:szCs w:val="32"/>
        </w:rPr>
        <w:t>学校单位领导职数4名(校长1名、副校长3名)，内设机构领导职数4名，内设机构有德育处、教务处、教科处、后勤处。</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二、单位决算收支情况说明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2024年度收入总计3799.31万元，支出总计</w:t>
      </w:r>
      <w:r>
        <w:rPr>
          <w:rFonts w:ascii="方正仿宋_GBK" w:hAnsi="方正仿宋_GBK" w:eastAsia="方正仿宋_GBK" w:cs="方正仿宋_GBK"/>
          <w:sz w:val="32"/>
          <w:szCs w:val="32"/>
        </w:rPr>
        <w:t>3799.31</w:t>
      </w:r>
      <w:r>
        <w:rPr>
          <w:rFonts w:ascii="方正仿宋_GBK" w:hAnsi="方正仿宋_GBK" w:eastAsia="方正仿宋_GBK" w:cs="方正仿宋_GBK"/>
          <w:sz w:val="32"/>
          <w:szCs w:val="32"/>
          <w:shd w:val="clear" w:color="auto" w:fill="FFFFFF"/>
        </w:rPr>
        <w:t>万元。收、支与2023年度相比，增加135.18万元，增长3.69%，主要原因是2024年危险</w:t>
      </w:r>
      <w:r>
        <w:rPr>
          <w:rFonts w:hint="eastAsia" w:ascii="方正仿宋_GBK" w:hAnsi="方正仿宋_GBK" w:eastAsia="方正仿宋_GBK" w:cs="方正仿宋_GBK"/>
          <w:sz w:val="32"/>
          <w:szCs w:val="32"/>
          <w:shd w:val="clear" w:color="auto" w:fill="FFFFFF"/>
          <w:lang w:eastAsia="zh-CN"/>
        </w:rPr>
        <w:t>房屋拆除</w:t>
      </w:r>
      <w:r>
        <w:rPr>
          <w:rFonts w:ascii="方正仿宋_GBK" w:hAnsi="方正仿宋_GBK" w:eastAsia="方正仿宋_GBK" w:cs="方正仿宋_GBK"/>
          <w:sz w:val="32"/>
          <w:szCs w:val="32"/>
          <w:shd w:val="clear" w:color="auto" w:fill="FFFFFF"/>
        </w:rPr>
        <w:t>及配套连廊改造等工程项目</w:t>
      </w:r>
      <w:r>
        <w:rPr>
          <w:rFonts w:hint="eastAsia" w:ascii="方正仿宋_GBK" w:hAnsi="方正仿宋_GBK" w:eastAsia="方正仿宋_GBK" w:cs="方正仿宋_GBK"/>
          <w:sz w:val="32"/>
          <w:szCs w:val="32"/>
          <w:shd w:val="clear" w:color="auto" w:fill="FFFFFF"/>
          <w:lang w:val="en-US" w:eastAsia="zh-CN"/>
        </w:rPr>
        <w:t>导致</w:t>
      </w:r>
      <w:r>
        <w:rPr>
          <w:rFonts w:ascii="方正仿宋_GBK" w:hAnsi="方正仿宋_GBK" w:eastAsia="方正仿宋_GBK" w:cs="方正仿宋_GBK"/>
          <w:sz w:val="32"/>
          <w:szCs w:val="32"/>
          <w:shd w:val="clear" w:color="auto" w:fill="FFFFFF"/>
        </w:rPr>
        <w:t>收支增加。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2024年度收入合计3601.92万元，与2023年度相比，增加195.26万元，增长5.73%，主要原因是2024年危险</w:t>
      </w:r>
      <w:r>
        <w:rPr>
          <w:rFonts w:hint="eastAsia" w:ascii="方正仿宋_GBK" w:hAnsi="方正仿宋_GBK" w:eastAsia="方正仿宋_GBK" w:cs="方正仿宋_GBK"/>
          <w:sz w:val="32"/>
          <w:szCs w:val="32"/>
          <w:shd w:val="clear" w:color="auto" w:fill="FFFFFF"/>
          <w:lang w:eastAsia="zh-CN"/>
        </w:rPr>
        <w:t>房屋拆除</w:t>
      </w:r>
      <w:r>
        <w:rPr>
          <w:rFonts w:ascii="方正仿宋_GBK" w:hAnsi="方正仿宋_GBK" w:eastAsia="方正仿宋_GBK" w:cs="方正仿宋_GBK"/>
          <w:sz w:val="32"/>
          <w:szCs w:val="32"/>
          <w:shd w:val="clear" w:color="auto" w:fill="FFFFFF"/>
        </w:rPr>
        <w:t>及配套连廊改造等工程项目</w:t>
      </w:r>
      <w:bookmarkStart w:id="0" w:name="_GoBack"/>
      <w:bookmarkEnd w:id="0"/>
      <w:r>
        <w:rPr>
          <w:rFonts w:ascii="方正仿宋_GBK" w:hAnsi="方正仿宋_GBK" w:eastAsia="方正仿宋_GBK" w:cs="方正仿宋_GBK"/>
          <w:sz w:val="32"/>
          <w:szCs w:val="32"/>
          <w:shd w:val="clear" w:color="auto" w:fill="FFFFFF"/>
        </w:rPr>
        <w:t>收入增加。其中：财政拨款收入</w:t>
      </w:r>
      <w:r>
        <w:rPr>
          <w:rFonts w:ascii="方正仿宋_GBK" w:hAnsi="方正仿宋_GBK" w:eastAsia="方正仿宋_GBK" w:cs="方正仿宋_GBK"/>
          <w:sz w:val="32"/>
          <w:szCs w:val="32"/>
        </w:rPr>
        <w:t>3276.49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90.97</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22.79</w:t>
      </w:r>
      <w:r>
        <w:rPr>
          <w:rFonts w:ascii="方正仿宋_GBK" w:hAnsi="方正仿宋_GBK" w:eastAsia="方正仿宋_GBK" w:cs="方正仿宋_GBK"/>
          <w:sz w:val="32"/>
          <w:szCs w:val="32"/>
          <w:shd w:val="clear" w:color="auto" w:fill="FFFFFF"/>
        </w:rPr>
        <w:t>万元，占0.63%；经营收入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302.65</w:t>
      </w:r>
      <w:r>
        <w:rPr>
          <w:rFonts w:ascii="方正仿宋_GBK" w:hAnsi="方正仿宋_GBK" w:eastAsia="方正仿宋_GBK" w:cs="方正仿宋_GBK"/>
          <w:sz w:val="32"/>
          <w:szCs w:val="32"/>
          <w:shd w:val="clear" w:color="auto" w:fill="FFFFFF"/>
        </w:rPr>
        <w:t>万元，占8.40%。此外，使用非财政拨款结余和专用结余</w:t>
      </w:r>
      <w:r>
        <w:rPr>
          <w:rFonts w:ascii="方正仿宋_GBK" w:hAnsi="方正仿宋_GBK" w:eastAsia="方正仿宋_GBK" w:cs="方正仿宋_GBK"/>
          <w:sz w:val="32"/>
          <w:szCs w:val="32"/>
        </w:rPr>
        <w:t>197.39</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3799.31</w:t>
      </w:r>
      <w:r>
        <w:rPr>
          <w:rFonts w:ascii="方正仿宋_GBK" w:hAnsi="方正仿宋_GBK" w:eastAsia="方正仿宋_GBK" w:cs="方正仿宋_GBK"/>
          <w:sz w:val="32"/>
          <w:szCs w:val="32"/>
          <w:shd w:val="clear" w:color="auto" w:fill="FFFFFF"/>
        </w:rPr>
        <w:t>万元，与2023年度相比，增加363.04万元，增长10.56%，主要原因是2024年危险</w:t>
      </w:r>
      <w:r>
        <w:rPr>
          <w:rFonts w:hint="eastAsia" w:ascii="方正仿宋_GBK" w:hAnsi="方正仿宋_GBK" w:eastAsia="方正仿宋_GBK" w:cs="方正仿宋_GBK"/>
          <w:sz w:val="32"/>
          <w:szCs w:val="32"/>
          <w:shd w:val="clear" w:color="auto" w:fill="FFFFFF"/>
          <w:lang w:eastAsia="zh-CN"/>
        </w:rPr>
        <w:t>房屋拆除</w:t>
      </w:r>
      <w:r>
        <w:rPr>
          <w:rFonts w:ascii="方正仿宋_GBK" w:hAnsi="方正仿宋_GBK" w:eastAsia="方正仿宋_GBK" w:cs="方正仿宋_GBK"/>
          <w:sz w:val="32"/>
          <w:szCs w:val="32"/>
          <w:shd w:val="clear" w:color="auto" w:fill="FFFFFF"/>
        </w:rPr>
        <w:t>及配套连廊改造等工程致项目支出增加。其中：基本支出</w:t>
      </w:r>
      <w:r>
        <w:rPr>
          <w:rFonts w:ascii="方正仿宋_GBK" w:hAnsi="方正仿宋_GBK" w:eastAsia="方正仿宋_GBK" w:cs="方正仿宋_GBK"/>
          <w:sz w:val="32"/>
          <w:szCs w:val="32"/>
        </w:rPr>
        <w:t>2988.44</w:t>
      </w:r>
      <w:r>
        <w:rPr>
          <w:rFonts w:ascii="方正仿宋_GBK" w:hAnsi="方正仿宋_GBK" w:eastAsia="方正仿宋_GBK" w:cs="方正仿宋_GBK"/>
          <w:sz w:val="32"/>
          <w:szCs w:val="32"/>
          <w:shd w:val="clear" w:color="auto" w:fill="FFFFFF"/>
        </w:rPr>
        <w:t>万元，占78.66%；项目支出</w:t>
      </w:r>
      <w:r>
        <w:rPr>
          <w:rFonts w:ascii="方正仿宋_GBK" w:hAnsi="方正仿宋_GBK" w:eastAsia="方正仿宋_GBK" w:cs="方正仿宋_GBK"/>
          <w:sz w:val="32"/>
          <w:szCs w:val="32"/>
        </w:rPr>
        <w:t>810.87</w:t>
      </w:r>
      <w:r>
        <w:rPr>
          <w:rFonts w:ascii="方正仿宋_GBK" w:hAnsi="方正仿宋_GBK" w:eastAsia="方正仿宋_GBK" w:cs="方正仿宋_GBK"/>
          <w:sz w:val="32"/>
          <w:szCs w:val="32"/>
          <w:shd w:val="clear" w:color="auto" w:fill="FFFFFF"/>
        </w:rPr>
        <w:t>万元，占21.34%；经营支出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2024年度财政拨款收、支总计3276.49万元。与2023年相比，财政拨款收、支总计各增加238.97万元，增长7.87%。主要原因是2024年危险</w:t>
      </w:r>
      <w:r>
        <w:rPr>
          <w:rFonts w:hint="eastAsia" w:ascii="方正仿宋_GBK" w:hAnsi="方正仿宋_GBK" w:eastAsia="方正仿宋_GBK" w:cs="方正仿宋_GBK"/>
          <w:sz w:val="32"/>
          <w:szCs w:val="32"/>
          <w:shd w:val="clear" w:color="auto" w:fill="FFFFFF"/>
          <w:lang w:eastAsia="zh-CN"/>
        </w:rPr>
        <w:t>房屋拆除</w:t>
      </w:r>
      <w:r>
        <w:rPr>
          <w:rFonts w:ascii="方正仿宋_GBK" w:hAnsi="方正仿宋_GBK" w:eastAsia="方正仿宋_GBK" w:cs="方正仿宋_GBK"/>
          <w:sz w:val="32"/>
          <w:szCs w:val="32"/>
          <w:shd w:val="clear" w:color="auto" w:fill="FFFFFF"/>
        </w:rPr>
        <w:t>及配套连廊改造等工程致项目收支增加。</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2821.83</w:t>
      </w:r>
      <w:r>
        <w:rPr>
          <w:rFonts w:ascii="方正仿宋_GBK" w:hAnsi="方正仿宋_GBK" w:eastAsia="方正仿宋_GBK" w:cs="方正仿宋_GBK"/>
          <w:sz w:val="32"/>
          <w:szCs w:val="32"/>
          <w:shd w:val="clear" w:color="auto" w:fill="FFFFFF"/>
        </w:rPr>
        <w:t>万元，与2023年度相比，减少215.69万元，下降7.10%。主要原因是2023年清算补发以前年度超额绩效和健康休养费。较年初预算数增加376.83万元，增长15.41%。主要原因是将超额绩效纳入养老保险和职业年金基数、教职工正常晋升、岗位职级变化等人员经费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2821.83</w:t>
      </w:r>
      <w:r>
        <w:rPr>
          <w:rFonts w:ascii="方正仿宋_GBK" w:hAnsi="方正仿宋_GBK" w:eastAsia="方正仿宋_GBK" w:cs="方正仿宋_GBK"/>
          <w:sz w:val="32"/>
          <w:szCs w:val="32"/>
          <w:shd w:val="clear" w:color="auto" w:fill="FFFFFF"/>
        </w:rPr>
        <w:t>万元，与2023年度相比，减少215.69万元，下降7.10%。主要原因是2023年清算补发以前年度超额绩效和健康休养费。较年初预算数增加376.83万元，增长15.41%。主要原因是将超额绩效纳入养老保险和职业年金基数、教职工正常晋升、岗位职级变化等人员经费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2086.94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73.96</w:t>
      </w:r>
      <w:r>
        <w:rPr>
          <w:rFonts w:ascii="方正仿宋_GBK" w:hAnsi="方正仿宋_GBK" w:eastAsia="方正仿宋_GBK" w:cs="方正仿宋_GBK"/>
          <w:sz w:val="32"/>
          <w:szCs w:val="32"/>
          <w:shd w:val="clear" w:color="auto" w:fill="FFFFFF"/>
        </w:rPr>
        <w:t>%，较年初预算数增加262.92万元，增长14.41%，主要原因是本年预算执行中财政追加政府性基金用于学校危险</w:t>
      </w:r>
      <w:r>
        <w:rPr>
          <w:rFonts w:hint="eastAsia" w:ascii="方正仿宋_GBK" w:hAnsi="方正仿宋_GBK" w:eastAsia="方正仿宋_GBK" w:cs="方正仿宋_GBK"/>
          <w:sz w:val="32"/>
          <w:szCs w:val="32"/>
          <w:shd w:val="clear" w:color="auto" w:fill="FFFFFF"/>
          <w:lang w:eastAsia="zh-CN"/>
        </w:rPr>
        <w:t>房屋拆除</w:t>
      </w:r>
      <w:r>
        <w:rPr>
          <w:rFonts w:ascii="方正仿宋_GBK" w:hAnsi="方正仿宋_GBK" w:eastAsia="方正仿宋_GBK" w:cs="方正仿宋_GBK"/>
          <w:sz w:val="32"/>
          <w:szCs w:val="32"/>
          <w:shd w:val="clear" w:color="auto" w:fill="FFFFFF"/>
        </w:rPr>
        <w:t>及配套连廊改造工程所致。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526.00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18.64</w:t>
      </w:r>
      <w:r>
        <w:rPr>
          <w:rFonts w:ascii="方正仿宋_GBK" w:hAnsi="方正仿宋_GBK" w:eastAsia="方正仿宋_GBK" w:cs="方正仿宋_GBK"/>
          <w:sz w:val="32"/>
          <w:szCs w:val="32"/>
          <w:shd w:val="clear" w:color="auto" w:fill="FFFFFF"/>
        </w:rPr>
        <w:t>%，较年初预算数增加132.25万元，增长33.59%，主要原因是本年预算执行中将超额绩效纳入养老保险和职业年金缴费基数导致预算增加。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94.95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3.36</w:t>
      </w:r>
      <w:r>
        <w:rPr>
          <w:rFonts w:ascii="方正仿宋_GBK" w:hAnsi="方正仿宋_GBK" w:eastAsia="方正仿宋_GBK" w:cs="方正仿宋_GBK"/>
          <w:sz w:val="32"/>
          <w:szCs w:val="32"/>
          <w:shd w:val="clear" w:color="auto" w:fill="FFFFFF"/>
        </w:rPr>
        <w:t>%，较年初预算数减少8.34万元，下降8.07%，主要原因是本年预算执行中因教职工退休后减少了缴费基数。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住房保障支出113.94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4.04</w:t>
      </w:r>
      <w:r>
        <w:rPr>
          <w:rFonts w:ascii="方正仿宋_GBK" w:hAnsi="方正仿宋_GBK" w:eastAsia="方正仿宋_GBK" w:cs="方正仿宋_GBK"/>
          <w:sz w:val="32"/>
          <w:szCs w:val="32"/>
          <w:shd w:val="clear" w:color="auto" w:fill="FFFFFF"/>
        </w:rPr>
        <w:t>%，较年初预算数减少10.01万元，下降8.08%，主要原因是本年预算执行中因教职工退休后减少了缴费基数。</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2467.51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2424.85</w:t>
      </w:r>
      <w:r>
        <w:rPr>
          <w:rFonts w:ascii="方正仿宋_GBK" w:hAnsi="方正仿宋_GBK" w:eastAsia="方正仿宋_GBK" w:cs="方正仿宋_GBK"/>
          <w:sz w:val="32"/>
          <w:szCs w:val="32"/>
          <w:shd w:val="clear" w:color="auto" w:fill="FFFFFF"/>
        </w:rPr>
        <w:t>万元，与2023年度相比，减少367.29万元，下降13.15%，主要原因是2023年清算补发以前年度超额绩效和健康休养费。人员经费用途主要包括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42.66</w:t>
      </w:r>
      <w:r>
        <w:rPr>
          <w:rFonts w:ascii="方正仿宋_GBK" w:hAnsi="方正仿宋_GBK" w:eastAsia="方正仿宋_GBK" w:cs="方正仿宋_GBK"/>
          <w:sz w:val="32"/>
          <w:szCs w:val="32"/>
          <w:shd w:val="clear" w:color="auto" w:fill="FFFFFF"/>
        </w:rPr>
        <w:t>万元，与2023年度相比，减少2.62万元，下降5.79%，主要原因是工会经费、培训费、福利费的预算基数减少所致。公用经费用途主要包括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454.66</w:t>
      </w:r>
      <w:r>
        <w:rPr>
          <w:rFonts w:ascii="方正仿宋_GBK" w:hAnsi="方正仿宋_GBK" w:eastAsia="方正仿宋_GBK" w:cs="方正仿宋_GBK"/>
          <w:sz w:val="32"/>
          <w:szCs w:val="32"/>
          <w:shd w:val="clear" w:color="auto" w:fill="FFFFFF"/>
        </w:rPr>
        <w:t>万元，与2023年度相比，增加454.66万元，增长100.00%，本年支出</w:t>
      </w:r>
      <w:r>
        <w:rPr>
          <w:rFonts w:ascii="方正仿宋_GBK" w:hAnsi="方正仿宋_GBK" w:eastAsia="方正仿宋_GBK" w:cs="方正仿宋_GBK"/>
          <w:sz w:val="32"/>
          <w:szCs w:val="32"/>
        </w:rPr>
        <w:t>454.66</w:t>
      </w:r>
      <w:r>
        <w:rPr>
          <w:rFonts w:ascii="方正仿宋_GBK" w:hAnsi="方正仿宋_GBK" w:eastAsia="方正仿宋_GBK" w:cs="方正仿宋_GBK"/>
          <w:sz w:val="32"/>
          <w:szCs w:val="32"/>
          <w:shd w:val="clear" w:color="auto" w:fill="FFFFFF"/>
        </w:rPr>
        <w:t>万元，与2023年度相比，增加454.66万元，增长100.00%，主要原因是财政追加拨入政府性基金用于学校危险</w:t>
      </w:r>
      <w:r>
        <w:rPr>
          <w:rFonts w:hint="eastAsia" w:ascii="方正仿宋_GBK" w:hAnsi="方正仿宋_GBK" w:eastAsia="方正仿宋_GBK" w:cs="方正仿宋_GBK"/>
          <w:sz w:val="32"/>
          <w:szCs w:val="32"/>
          <w:shd w:val="clear" w:color="auto" w:fill="FFFFFF"/>
          <w:lang w:eastAsia="zh-CN"/>
        </w:rPr>
        <w:t>房屋拆除</w:t>
      </w:r>
      <w:r>
        <w:rPr>
          <w:rFonts w:ascii="方正仿宋_GBK" w:hAnsi="方正仿宋_GBK" w:eastAsia="方正仿宋_GBK" w:cs="方正仿宋_GBK"/>
          <w:sz w:val="32"/>
          <w:szCs w:val="32"/>
          <w:shd w:val="clear" w:color="auto" w:fill="FFFFFF"/>
        </w:rPr>
        <w:t>及配套连廊改造等工程。</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7.11</w:t>
      </w:r>
      <w:r>
        <w:rPr>
          <w:rFonts w:ascii="方正仿宋_GBK" w:hAnsi="方正仿宋_GBK" w:eastAsia="方正仿宋_GBK" w:cs="方正仿宋_GBK"/>
          <w:sz w:val="32"/>
          <w:szCs w:val="32"/>
          <w:shd w:val="clear" w:color="auto" w:fill="FFFFFF"/>
        </w:rPr>
        <w:t>万元，与2023年度相比，减少3.29万元，下降31.63%，主要原因是学校压缩公用经费支出，减少了师资队伍的培训</w:t>
      </w:r>
      <w:r>
        <w:rPr>
          <w:rFonts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r>
        <w:rPr>
          <w:rFonts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autoSpaceDE w:val="0"/>
        <w:spacing w:line="600" w:lineRule="exact"/>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8.27</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8.27</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7.46万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90.23</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7.46</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90.23</w:t>
      </w:r>
      <w:r>
        <w:rPr>
          <w:rFonts w:ascii="方正仿宋_GBK" w:hAnsi="方正仿宋_GBK" w:eastAsia="方正仿宋_GBK" w:cs="方正仿宋_GBK"/>
          <w:sz w:val="32"/>
          <w:szCs w:val="32"/>
          <w:shd w:val="clear" w:color="auto" w:fill="FFFFFF"/>
        </w:rPr>
        <w:t xml:space="preserve"> %。主要用于采购教学用设备和学生课桌椅。</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个二级项目开展了绩效自评，涉及财政拨款项目支出资金354.31万元。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896610" cy="5551805"/>
            <wp:effectExtent l="0" t="0" r="889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896610" cy="5551805"/>
                    </a:xfrm>
                    <a:prstGeom prst="rect">
                      <a:avLst/>
                    </a:prstGeom>
                    <a:noFill/>
                    <a:ln>
                      <a:noFill/>
                    </a:ln>
                  </pic:spPr>
                </pic:pic>
              </a:graphicData>
            </a:graphic>
          </wp:inline>
        </w:drawing>
      </w:r>
      <w:r>
        <w:drawing>
          <wp:inline distT="0" distB="0" distL="114300" distR="114300">
            <wp:extent cx="5674360" cy="5210175"/>
            <wp:effectExtent l="0" t="0" r="254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74360" cy="5210175"/>
                    </a:xfrm>
                    <a:prstGeom prst="rect">
                      <a:avLst/>
                    </a:prstGeom>
                    <a:noFill/>
                    <a:ln>
                      <a:noFill/>
                    </a:ln>
                  </pic:spPr>
                </pic:pic>
              </a:graphicData>
            </a:graphic>
          </wp:inline>
        </w:drawing>
      </w:r>
      <w:r>
        <w:t xml:space="preserve"> </w:t>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ascii="方正黑体_GBK" w:hAnsi="黑体" w:eastAsia="方正黑体_GBK" w:cs="仿宋_GB2312"/>
          <w:sz w:val="32"/>
          <w:szCs w:val="32"/>
        </w:rPr>
      </w:pPr>
      <w:r>
        <w:rPr>
          <w:rFonts w:ascii="方正黑体_GBK" w:hAnsi="黑体" w:eastAsia="方正黑体_GBK" w:cs="仿宋_GB2312"/>
          <w:sz w:val="32"/>
          <w:szCs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Fonts w:hint="default"/>
          <w:sz w:val="32"/>
          <w:szCs w:val="32"/>
          <w:shd w:val="clear" w:color="auto" w:fill="FFFFFF"/>
        </w:rPr>
      </w:pPr>
      <w:r>
        <w:rPr>
          <w:rFonts w:ascii="方正仿宋_GBK" w:hAnsi="方正仿宋_GBK" w:eastAsia="方正仿宋_GBK" w:cs="方正仿宋_GBK"/>
          <w:sz w:val="32"/>
          <w:szCs w:val="32"/>
        </w:rPr>
        <w:t>王老师   023-74512598</w:t>
      </w:r>
    </w:p>
    <w:p>
      <w:pPr>
        <w:pStyle w:val="6"/>
        <w:snapToGrid w:val="0"/>
        <w:spacing w:before="0" w:beforeAutospacing="0" w:after="0" w:afterAutospacing="0" w:line="600" w:lineRule="exact"/>
        <w:ind w:firstLine="643" w:firstLineChars="200"/>
        <w:jc w:val="both"/>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r>
              <w:rPr>
                <w:rFonts w:cs="宋体"/>
                <w:sz w:val="20"/>
                <w:szCs w:val="20"/>
              </w:rPr>
              <w:t>单位：</w:t>
            </w:r>
            <w:r>
              <w:rPr>
                <w:sz w:val="20"/>
              </w:rPr>
              <w:t>垫江县凤山小学校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2,821.83</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454.66</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22.79</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2,609.76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302.65</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526.00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94.95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454.66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113.94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3,601.92</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3,799.31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197.39</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3,799.31</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3,799.31</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垫江县凤山小学校</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17" w:hRule="exac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17" w:hRule="exac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7" w:hRule="exac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7" w:hRule="exac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7" w:hRule="exac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7" w:hRule="exac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3,601.92</w:t>
            </w:r>
            <w:r>
              <w:rPr>
                <w:rFonts w:ascii="Times New Roman" w:hAnsi="Times New Roman"/>
                <w:b/>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3,276.49</w:t>
            </w:r>
            <w:r>
              <w:rPr>
                <w:rFonts w:ascii="Times New Roman" w:hAnsi="Times New Roman"/>
                <w:b/>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22.79</w:t>
            </w:r>
            <w:r>
              <w:rPr>
                <w:rFonts w:ascii="Times New Roman" w:hAnsi="Times New Roman"/>
                <w:b/>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22.79</w:t>
            </w:r>
            <w:r>
              <w:rPr>
                <w:rFonts w:ascii="Times New Roman" w:hAnsi="Times New Roman"/>
                <w:b/>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302.65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2,412.37</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2,086.94</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22.79</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22.79</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302.65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2,407.27</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2,081.84</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22.79</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22.79</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302.65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64.10</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41.32</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22.79</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22.79</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2,343.17</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2,040.52</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302.65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5.10</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5.10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5.10</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526.00</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526.00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526.00</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526.00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241.78</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241.78</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121.07</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121.07</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163.15</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163.15</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94.95</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94.95</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94.95</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94.95</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94.95</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94.95</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454.66</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454.66</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113.94</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113.94</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113.94</w:t>
            </w:r>
            <w:r>
              <w:rPr>
                <w:rFonts w:ascii="Times New Roman" w:hAnsi="Times New Roman"/>
                <w:b/>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113.94</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113.94</w:t>
            </w:r>
            <w:r>
              <w:rPr>
                <w:rFonts w:ascii="Times New Roman" w:hAnsi="Times New Roman"/>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113.94</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垫江县凤山小学校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17"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17" w:hRule="exac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7"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7"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7"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7"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3,799.31</w:t>
            </w:r>
            <w:r>
              <w:rPr>
                <w:rFonts w:ascii="Times New Roman" w:hAnsi="Times New Roman"/>
                <w:b/>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2,988.44</w:t>
            </w:r>
            <w:r>
              <w:rPr>
                <w:rFonts w:ascii="Times New Roman" w:hAnsi="Times New Roman"/>
                <w:b/>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810.87</w:t>
            </w:r>
            <w:r>
              <w:rPr>
                <w:rFonts w:ascii="Times New Roman" w:hAnsi="Times New Roman"/>
                <w:b/>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2,609.76</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2,254.11</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355.66</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2,604.66</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2,249.01</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355.66</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64.10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22.64</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41.47</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2,540.56</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2,226.37</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314.19</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5.10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5.10</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5.10</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526.00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525.44</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0.56</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526.00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525.44</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0.56</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241.78</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241.78</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121.07</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121.07</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163.15</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162.60</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0.56</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94.95</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94.95</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94.95</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94.95</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94.95</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94.95</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454.66</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454.66</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113.94</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113.94</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113.94</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113.94</w:t>
            </w:r>
            <w:r>
              <w:rPr>
                <w:rFonts w:ascii="Times New Roman" w:hAnsi="Times New Roman"/>
                <w:b/>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7"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113.94</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113.94</w:t>
            </w:r>
            <w:r>
              <w:rPr>
                <w:rFonts w:ascii="Times New Roman" w:hAnsi="Times New Roman"/>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垫江县凤山小学校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2,821.83</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454.66</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2,086.94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2,086.94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526.00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526.00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94.95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94.95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454.66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454.66</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113.94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113.94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3,276.49</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3,276.49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2,821.83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454.66</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3,276.49</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3,276.49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2,821.83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454.66</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垫江县凤山小学校</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2,821.83</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2,467.51</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354.31</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2,086.94</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1,733.18</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353.76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2,081.84</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1,728.08</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353.76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41.32</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41.32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2,040.52</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1,728.08</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312.44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5.10</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5.10</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5.10</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5.10</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526.00</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525.44</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0.56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526.00</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525.44</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0.56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241.78</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241.78</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121.07</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121.07</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163.15</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162.60</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0.56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94.95</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94.95</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94.95</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94.95</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94.95</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94.95</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113.94</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113.94</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113.94</w:t>
            </w:r>
            <w:r>
              <w:rPr>
                <w:rFonts w:ascii="Times New Roman" w:hAnsi="Times New Roman"/>
                <w:b/>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113.94</w:t>
            </w:r>
            <w:r>
              <w:rPr>
                <w:rFonts w:ascii="Times New Roman" w:hAnsi="Times New Roman"/>
                <w:b/>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113.94</w:t>
            </w:r>
            <w:r>
              <w:rPr>
                <w:rFonts w:ascii="Times New Roman" w:hAnsi="Times New Roman"/>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113.94</w:t>
            </w:r>
            <w:r>
              <w:rPr>
                <w:rFonts w:ascii="Times New Roman" w:hAnsi="Times New Roman"/>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603"/>
        <w:gridCol w:w="983"/>
        <w:gridCol w:w="1747"/>
        <w:gridCol w:w="1370"/>
        <w:gridCol w:w="515"/>
        <w:gridCol w:w="319"/>
        <w:gridCol w:w="1333"/>
        <w:gridCol w:w="582"/>
        <w:gridCol w:w="1069"/>
        <w:gridCol w:w="579"/>
        <w:gridCol w:w="806"/>
        <w:gridCol w:w="267"/>
        <w:gridCol w:w="1652"/>
        <w:gridCol w:w="1597"/>
        <w:gridCol w:w="120"/>
        <w:gridCol w:w="1762"/>
        <w:gridCol w:w="18"/>
      </w:tblGrid>
      <w:tr>
        <w:tblPrEx>
          <w:tblLayout w:type="fixed"/>
          <w:tblCellMar>
            <w:top w:w="0" w:type="dxa"/>
            <w:left w:w="0" w:type="dxa"/>
            <w:bottom w:w="0" w:type="dxa"/>
            <w:right w:w="0" w:type="dxa"/>
          </w:tblCellMar>
        </w:tblPrEx>
        <w:trPr>
          <w:gridAfter w:val="1"/>
          <w:wAfter w:w="18" w:type="dxa"/>
          <w:trHeight w:val="90" w:hRule="atLeast"/>
        </w:trPr>
        <w:tc>
          <w:tcPr>
            <w:tcW w:w="15304" w:type="dxa"/>
            <w:gridSpan w:val="16"/>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gridAfter w:val="1"/>
          <w:wAfter w:w="18" w:type="dxa"/>
          <w:trHeight w:val="90" w:hRule="atLeast"/>
        </w:trPr>
        <w:tc>
          <w:tcPr>
            <w:tcW w:w="7452" w:type="dxa"/>
            <w:gridSpan w:val="8"/>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垫江县凤山小学校</w:t>
            </w:r>
          </w:p>
        </w:tc>
        <w:tc>
          <w:tcPr>
            <w:tcW w:w="1648"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16" w:type="dxa"/>
            <w:gridSpan w:val="3"/>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gridAfter w:val="1"/>
          <w:wAfter w:w="18" w:type="dxa"/>
          <w:trHeight w:val="90" w:hRule="atLeast"/>
        </w:trPr>
        <w:tc>
          <w:tcPr>
            <w:tcW w:w="7452" w:type="dxa"/>
            <w:gridSpan w:val="8"/>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48"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16" w:type="dxa"/>
            <w:gridSpan w:val="3"/>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gridAfter w:val="1"/>
          <w:wAfter w:w="18" w:type="dxa"/>
          <w:trHeight w:val="90" w:hRule="atLeast"/>
        </w:trPr>
        <w:tc>
          <w:tcPr>
            <w:tcW w:w="470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w:t>
            </w:r>
          </w:p>
        </w:tc>
        <w:tc>
          <w:tcPr>
            <w:tcW w:w="10601" w:type="dxa"/>
            <w:gridSpan w:val="1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gridAfter w:val="1"/>
          <w:wAfter w:w="18" w:type="dxa"/>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730"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34"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1915"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4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3516"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2"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gridAfter w:val="1"/>
          <w:wAfter w:w="18" w:type="dxa"/>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73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3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34"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91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516"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882"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301</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工资福利支出</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2,262.25</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302</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商品和服务支出</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42.66</w:t>
            </w: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310</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资本性支出</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30101</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基本工资</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556.53</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30201</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31001</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房屋建筑物购建</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30102</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津贴补贴</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18.44</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30202</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印刷费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31002</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办公设备购置</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30103</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奖金</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30203</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咨询费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31003</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专用设备购置</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30106</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伙食补助费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30204</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手续费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31005</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基础设施建设</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30107</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绩效工资</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1,093.34</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30205</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水费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31006</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大型修缮</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30108</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241.78</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30206</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电费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31007</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信息网络及软件购置更新</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30109</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职业年金缴费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121.07</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30207</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邮电费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31008</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物资储备</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30110</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职工基本医疗保险缴费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94.95</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30208</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取暖费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31009</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土地补偿</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30111</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公务员医疗补助缴费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30209</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物业管理费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31010</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安置补助</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30112</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其他社会保障缴费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2.85</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30211</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差旅费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31011</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地上附着物和青苗补偿</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30113</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住房公积金</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113.94</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30212</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因公出国（境）费用</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31012</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拆迁补偿</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30114</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19.36</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30213</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维修（护）费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31013</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公务用车购置</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30199</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其他工资福利支出</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30214</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租赁费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31019</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其他交通工具购置</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303</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对个人和家庭的补助</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162.60</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30215</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会议费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31021</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文物和陈列品购置</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30301</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离休费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30216</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培训费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5.10</w:t>
            </w: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31022</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无形资产购置</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30302</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退休费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30217</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公务接待费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31099</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其他资本性支出</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30303</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退职（役）费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30218</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专用材料费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312</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对企业补助</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30304</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抚恤金</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30224</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被装购置费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31201</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资本金注入</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30305</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生活补助</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118.95</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30225</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专用燃料费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31203</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政府投资基金股权投资</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30306</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救济费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30226</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劳务费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31204</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费用补贴</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30307</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医疗费补助</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10.20</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30227</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委托业务费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31205</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利息补贴</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30308</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助学金</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30228</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工会经费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12.39</w:t>
            </w: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31206</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30309</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奖励金</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33.45</w:t>
            </w: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30229</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福利费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25.17</w:t>
            </w: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31299</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其他对企业补助</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30310</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个人农业生产补贴</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30231</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公务用车运行维护费</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399</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其他支出</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30311</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代缴社会保险费</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30239</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其他交通费用</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39907</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国家赔偿费用支出</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30399</w:t>
            </w: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其他对个人和家庭的补助</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30240</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税金及附加费用</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39908</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30299</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其他商品和服务支出</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39909</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经常性赠与</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307</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债务利息及费用支出</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39910</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资本性赠与</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30701</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国内债务付息</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39999</w:t>
            </w: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其他支出</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30702</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国外债务付息</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gridAfter w:val="1"/>
          <w:wAfter w:w="18" w:type="dxa"/>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30703</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国内债务发行费用</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gridAfter w:val="1"/>
          <w:wAfter w:w="18" w:type="dxa"/>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30704</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国外债务发行费用</w:t>
            </w:r>
          </w:p>
        </w:tc>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gridAfter w:val="1"/>
          <w:wAfter w:w="18" w:type="dxa"/>
          <w:trHeight w:val="310" w:hRule="atLeast"/>
        </w:trPr>
        <w:tc>
          <w:tcPr>
            <w:tcW w:w="333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人员经费合计</w:t>
            </w:r>
          </w:p>
        </w:tc>
        <w:tc>
          <w:tcPr>
            <w:tcW w:w="137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2,424.85</w:t>
            </w:r>
            <w:r>
              <w:rPr>
                <w:rFonts w:ascii="Times New Roman" w:hAnsi="Times New Roman"/>
                <w:sz w:val="18"/>
              </w:rPr>
              <w:t xml:space="preserve"> </w:t>
            </w:r>
          </w:p>
        </w:tc>
        <w:tc>
          <w:tcPr>
            <w:tcW w:w="8719" w:type="dxa"/>
            <w:gridSpan w:val="10"/>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公用经费合计</w:t>
            </w:r>
          </w:p>
        </w:tc>
        <w:tc>
          <w:tcPr>
            <w:tcW w:w="188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42.66</w:t>
            </w: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644" w:hRule="atLeast"/>
        </w:trPr>
        <w:tc>
          <w:tcPr>
            <w:tcW w:w="15322" w:type="dxa"/>
            <w:gridSpan w:val="1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870" w:type="dxa"/>
            <w:gridSpan w:val="7"/>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垫江县凤山小学校</w:t>
            </w:r>
          </w:p>
        </w:tc>
        <w:tc>
          <w:tcPr>
            <w:tcW w:w="1651"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7"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80" w:type="dxa"/>
            <w:gridSpan w:val="2"/>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870" w:type="dxa"/>
            <w:gridSpan w:val="7"/>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51"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17"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80" w:type="dxa"/>
            <w:gridSpan w:val="2"/>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52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652" w:type="dxa"/>
            <w:gridSpan w:val="2"/>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6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02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7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5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3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52"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2" w:type="dxa"/>
            <w:gridSpan w:val="3"/>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1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5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2"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2"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5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3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2" w:type="dxa"/>
            <w:gridSpan w:val="2"/>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2" w:type="dxa"/>
            <w:gridSpan w:val="3"/>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1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5218"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454.66</w:t>
            </w:r>
            <w:r>
              <w:rPr>
                <w:rFonts w:ascii="Times New Roman" w:hAnsi="Times New Roman"/>
                <w:b/>
                <w:sz w:val="20"/>
              </w:rPr>
              <w:t xml:space="preserve"> </w:t>
            </w:r>
          </w:p>
        </w:tc>
        <w:tc>
          <w:tcPr>
            <w:tcW w:w="165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454.66</w:t>
            </w:r>
            <w:r>
              <w:rPr>
                <w:rFonts w:ascii="Times New Roman" w:hAnsi="Times New Roman"/>
                <w:b/>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1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454.66</w:t>
            </w:r>
            <w:r>
              <w:rPr>
                <w:rFonts w:ascii="Times New Roman" w:hAnsi="Times New Roman"/>
                <w:b/>
                <w:sz w:val="20"/>
              </w:rPr>
              <w:t xml:space="preserve"> </w:t>
            </w:r>
          </w:p>
        </w:tc>
        <w:tc>
          <w:tcPr>
            <w:tcW w:w="17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58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212</w:t>
            </w:r>
          </w:p>
        </w:tc>
        <w:tc>
          <w:tcPr>
            <w:tcW w:w="363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城乡社区支出</w:t>
            </w:r>
          </w:p>
        </w:tc>
        <w:tc>
          <w:tcPr>
            <w:tcW w:w="16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165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17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58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21208</w:t>
            </w:r>
          </w:p>
        </w:tc>
        <w:tc>
          <w:tcPr>
            <w:tcW w:w="363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国有土地使用权出让收入安排的支出</w:t>
            </w:r>
          </w:p>
        </w:tc>
        <w:tc>
          <w:tcPr>
            <w:tcW w:w="16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165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1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454.66</w:t>
            </w:r>
            <w:r>
              <w:rPr>
                <w:rFonts w:ascii="Times New Roman" w:hAnsi="Times New Roman"/>
                <w:b/>
                <w:sz w:val="20"/>
              </w:rPr>
              <w:t xml:space="preserve"> </w:t>
            </w:r>
          </w:p>
        </w:tc>
        <w:tc>
          <w:tcPr>
            <w:tcW w:w="17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58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2120899</w:t>
            </w:r>
          </w:p>
        </w:tc>
        <w:tc>
          <w:tcPr>
            <w:tcW w:w="363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其他国有土地使用权出让收入安排的支出</w:t>
            </w:r>
          </w:p>
        </w:tc>
        <w:tc>
          <w:tcPr>
            <w:tcW w:w="165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65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454.66</w:t>
            </w:r>
            <w:r>
              <w:rPr>
                <w:rFonts w:ascii="Times New Roman" w:hAnsi="Times New Roman"/>
                <w:sz w:val="20"/>
              </w:rPr>
              <w:t xml:space="preserve"> </w:t>
            </w:r>
          </w:p>
        </w:tc>
        <w:tc>
          <w:tcPr>
            <w:tcW w:w="1652"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454.66</w:t>
            </w:r>
            <w:r>
              <w:rPr>
                <w:rFonts w:ascii="Times New Roman" w:hAnsi="Times New Roman"/>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1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454.66</w:t>
            </w:r>
            <w:r>
              <w:rPr>
                <w:rFonts w:ascii="Times New Roman" w:hAnsi="Times New Roman"/>
                <w:sz w:val="20"/>
              </w:rPr>
              <w:t xml:space="preserve"> </w:t>
            </w:r>
          </w:p>
        </w:tc>
        <w:tc>
          <w:tcPr>
            <w:tcW w:w="178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垫江县凤山小学校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垫江县凤山小学校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8.27</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8.27</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7.46</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7.46</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7.11</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0.48</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017EB"/>
    <w:rsid w:val="00261065"/>
    <w:rsid w:val="002D0E5A"/>
    <w:rsid w:val="002E5443"/>
    <w:rsid w:val="0032196C"/>
    <w:rsid w:val="004C12FF"/>
    <w:rsid w:val="00550ABE"/>
    <w:rsid w:val="005B023C"/>
    <w:rsid w:val="005C73B8"/>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95F90"/>
    <w:rsid w:val="009B67B8"/>
    <w:rsid w:val="009D441B"/>
    <w:rsid w:val="00A03B1E"/>
    <w:rsid w:val="00A5576E"/>
    <w:rsid w:val="00A67739"/>
    <w:rsid w:val="00A820B7"/>
    <w:rsid w:val="00A82F00"/>
    <w:rsid w:val="00AC5566"/>
    <w:rsid w:val="00B03CCD"/>
    <w:rsid w:val="00B40138"/>
    <w:rsid w:val="00BF5A85"/>
    <w:rsid w:val="00C307F6"/>
    <w:rsid w:val="00C5166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AD6D99"/>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7345FA"/>
    <w:rsid w:val="189079DC"/>
    <w:rsid w:val="189B0D0B"/>
    <w:rsid w:val="18B43F7C"/>
    <w:rsid w:val="194A1770"/>
    <w:rsid w:val="19B906A4"/>
    <w:rsid w:val="1B6F15B6"/>
    <w:rsid w:val="1BAA2EDC"/>
    <w:rsid w:val="1C5C0973"/>
    <w:rsid w:val="1CA55E64"/>
    <w:rsid w:val="1CB271B9"/>
    <w:rsid w:val="1D014A01"/>
    <w:rsid w:val="1D022362"/>
    <w:rsid w:val="1D1B04B0"/>
    <w:rsid w:val="1DBD6767"/>
    <w:rsid w:val="1DC52125"/>
    <w:rsid w:val="1DD26311"/>
    <w:rsid w:val="1E374ACB"/>
    <w:rsid w:val="1E4C25FA"/>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5D51762"/>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06215C"/>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3D14E0"/>
    <w:rsid w:val="6AAD2300"/>
    <w:rsid w:val="6B474EF5"/>
    <w:rsid w:val="6BBF53FD"/>
    <w:rsid w:val="6C560CAE"/>
    <w:rsid w:val="6C576495"/>
    <w:rsid w:val="6D903FF5"/>
    <w:rsid w:val="6DA955B8"/>
    <w:rsid w:val="6DE346AB"/>
    <w:rsid w:val="6DE5391A"/>
    <w:rsid w:val="6EB54BD4"/>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5C619EC"/>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8623</Words>
  <Characters>11571</Characters>
  <Lines>103</Lines>
  <Paragraphs>29</Paragraphs>
  <TotalTime>34</TotalTime>
  <ScaleCrop>false</ScaleCrop>
  <LinksUpToDate>false</LinksUpToDate>
  <CharactersWithSpaces>12672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2025-09-22T08:23:08Z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B63F6527262A4F49904788A8593077CD_13</vt:lpwstr>
  </property>
  <property fmtid="{D5CDD505-2E9C-101B-9397-08002B2CF9AE}" pid="4" name="KSOTemplateDocerSaveRecord">
    <vt:lpwstr>eyJoZGlkIjoiNjM0Zjk5YTc4NjQ1NmYyOGViZjRkNWIzZWJhYTE3YWEiLCJ1c2VySWQiOiIzODk0NTM2OTAifQ==</vt:lpwstr>
  </property>
</Properties>
</file>