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垫江县电教信息中心</w:t>
      </w:r>
    </w:p>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一、单位基本情况</w:t>
      </w:r>
    </w:p>
    <w:p>
      <w:pPr>
        <w:pStyle w:val="6"/>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pPr>
        <w:adjustRightInd w:val="0"/>
        <w:spacing w:line="576" w:lineRule="exact"/>
        <w:ind w:firstLine="640" w:firstLineChars="200"/>
        <w:jc w:val="both"/>
        <w:rPr>
          <w:rFonts w:hint="default" w:ascii="Times New Roman" w:hAnsi="Times New Roman" w:eastAsia="方正仿宋_GBK"/>
          <w:sz w:val="32"/>
          <w:szCs w:val="32"/>
        </w:rPr>
      </w:pPr>
      <w:r>
        <w:rPr>
          <w:rFonts w:ascii="Times New Roman" w:hAnsi="Times New Roman" w:eastAsia="方正仿宋_GBK" w:cs="方正仿宋_GBK"/>
          <w:sz w:val="32"/>
          <w:szCs w:val="32"/>
        </w:rPr>
        <w:t>教育信息化提供服务。信息化建设与管理；装备标准化建设与管理；教育信息技术与装备教研、科研和培训；青少年科技活动和社会实践活动的管理与指导。</w:t>
      </w:r>
    </w:p>
    <w:p>
      <w:pPr>
        <w:pStyle w:val="6"/>
        <w:shd w:val="clear" w:color="auto" w:fill="FFFFFF"/>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pPr>
        <w:adjustRightInd w:val="0"/>
        <w:spacing w:line="576" w:lineRule="exact"/>
        <w:ind w:firstLine="640" w:firstLineChars="200"/>
        <w:jc w:val="both"/>
        <w:rPr>
          <w:rFonts w:hint="default" w:ascii="Times New Roman" w:hAnsi="Times New Roman" w:eastAsia="方正仿宋_GBK"/>
          <w:sz w:val="32"/>
          <w:szCs w:val="32"/>
        </w:rPr>
      </w:pPr>
      <w:r>
        <w:rPr>
          <w:rFonts w:ascii="Times New Roman" w:hAnsi="Times New Roman" w:eastAsia="方正仿宋_GBK" w:cs="方正仿宋_GBK"/>
          <w:sz w:val="32"/>
          <w:szCs w:val="32"/>
        </w:rPr>
        <w:t>本单位无内设机构。</w:t>
      </w:r>
    </w:p>
    <w:p>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二、单位决算收支情况说明</w:t>
      </w:r>
    </w:p>
    <w:p>
      <w:pPr>
        <w:pStyle w:val="6"/>
        <w:shd w:val="clear" w:color="auto" w:fill="FFFFFF"/>
        <w:ind w:firstLine="321" w:firstLineChars="100"/>
        <w:rPr>
          <w:rFonts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（一）收入支出决算总体情况说明。</w:t>
      </w:r>
    </w:p>
    <w:p>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2024年度收入总计219.52万元，支出总计</w:t>
      </w:r>
      <w:r>
        <w:rPr>
          <w:rFonts w:ascii="方正仿宋_GBK" w:hAnsi="方正仿宋_GBK" w:eastAsia="方正仿宋_GBK" w:cs="方正仿宋_GBK"/>
          <w:sz w:val="32"/>
          <w:szCs w:val="32"/>
        </w:rPr>
        <w:t>219.52</w:t>
      </w:r>
      <w:r>
        <w:rPr>
          <w:rFonts w:ascii="方正仿宋_GBK" w:hAnsi="方正仿宋_GBK" w:eastAsia="方正仿宋_GBK" w:cs="方正仿宋_GBK"/>
          <w:sz w:val="32"/>
          <w:szCs w:val="32"/>
          <w:shd w:val="clear" w:color="auto" w:fill="FFFFFF"/>
        </w:rPr>
        <w:t>万元。收、支与2023年度相比，减少100.89万元，下降31.5%，主要原因是人员调出及商品服务支出减少。</w:t>
      </w:r>
    </w:p>
    <w:p>
      <w:pPr>
        <w:pStyle w:val="6"/>
        <w:shd w:val="clear" w:color="auto" w:fill="FFFFFF"/>
        <w:ind w:firstLine="643"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2024年度收入合计219.52万元，与2023年度相比，减少99.83万元，下降31.3%，主要原因是主要原因是人员调出及商品服务支出减少。其中：财政拨款收入</w:t>
      </w:r>
      <w:r>
        <w:rPr>
          <w:rFonts w:ascii="方正仿宋_GBK" w:hAnsi="方正仿宋_GBK" w:eastAsia="方正仿宋_GBK" w:cs="方正仿宋_GBK"/>
          <w:sz w:val="32"/>
          <w:szCs w:val="32"/>
        </w:rPr>
        <w:t>219.52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hd w:val="clear" w:color="auto" w:fill="FFFFFF"/>
        <w:ind w:firstLine="643"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219.52</w:t>
      </w:r>
      <w:r>
        <w:rPr>
          <w:rFonts w:ascii="方正仿宋_GBK" w:hAnsi="方正仿宋_GBK" w:eastAsia="方正仿宋_GBK" w:cs="方正仿宋_GBK"/>
          <w:sz w:val="32"/>
          <w:szCs w:val="32"/>
          <w:shd w:val="clear" w:color="auto" w:fill="FFFFFF"/>
        </w:rPr>
        <w:t>万元，与2023年度相比，减少100.89万元，下降31.5%，主要原因是人员调出及商品服务支出减少。其中：基本支出</w:t>
      </w:r>
      <w:r>
        <w:rPr>
          <w:rFonts w:ascii="方正仿宋_GBK" w:hAnsi="方正仿宋_GBK" w:eastAsia="方正仿宋_GBK" w:cs="方正仿宋_GBK"/>
          <w:sz w:val="32"/>
          <w:szCs w:val="32"/>
        </w:rPr>
        <w:t>219.52</w:t>
      </w:r>
      <w:r>
        <w:rPr>
          <w:rFonts w:ascii="方正仿宋_GBK" w:hAnsi="方正仿宋_GBK" w:eastAsia="方正仿宋_GBK" w:cs="方正仿宋_GBK"/>
          <w:sz w:val="32"/>
          <w:szCs w:val="32"/>
          <w:shd w:val="clear" w:color="auto" w:fill="FFFFFF"/>
        </w:rPr>
        <w:t>万元，占100.0%；项目支出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万元，与2023年度相比，无增减，主要原因是本年无结转和结余。</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6"/>
        <w:shd w:val="clear" w:color="auto" w:fill="FFFFFF"/>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2024年度财政拨款收、支总计219.52万元。与2023年相比，财政拨款收、支总计各减少85.79万元，下降28.1%。主要原因是人员调出及商品服务支出减少。</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219.52</w:t>
      </w:r>
      <w:r>
        <w:rPr>
          <w:rFonts w:ascii="方正仿宋_GBK" w:hAnsi="方正仿宋_GBK" w:eastAsia="方正仿宋_GBK" w:cs="方正仿宋_GBK"/>
          <w:sz w:val="32"/>
          <w:szCs w:val="32"/>
          <w:shd w:val="clear" w:color="auto" w:fill="FFFFFF"/>
        </w:rPr>
        <w:t>万元，与2023年度相比，减少84.73万元，下降27.9%。主要原因是人员调出及商品服务支出减少。较年初预算数减少604.88万元，下降73.4%。主要原因是人员调出及商品服务支出减少。此外，年初财政拨款结转和结余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219.52</w:t>
      </w:r>
      <w:r>
        <w:rPr>
          <w:rFonts w:ascii="方正仿宋_GBK" w:hAnsi="方正仿宋_GBK" w:eastAsia="方正仿宋_GBK" w:cs="方正仿宋_GBK"/>
          <w:sz w:val="32"/>
          <w:szCs w:val="32"/>
          <w:shd w:val="clear" w:color="auto" w:fill="FFFFFF"/>
        </w:rPr>
        <w:t>万元，与2023年度相比，减少85.79万元，下降28.1%。主要原因是人员调出及商品服务支出减少。较年初预算数减少604.88万元，下降73.4%。主要原因是人员调出及商品服务支出减少。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万元，与2023年度相比，无增减，主要原因是本年无结转和结余。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r>
        <w:rPr>
          <w:rFonts w:hint="default" w:ascii="方正仿宋_GBK" w:hAnsi="方正仿宋_GBK" w:eastAsia="方正仿宋_GBK" w:cs="方正仿宋_GBK"/>
          <w:sz w:val="32"/>
          <w:szCs w:val="32"/>
        </w:rPr>
        <w:t xml:space="preserve"> </w:t>
      </w:r>
    </w:p>
    <w:p>
      <w:pPr>
        <w:pStyle w:val="6"/>
        <w:shd w:val="clear" w:color="auto" w:fill="FFFFFF"/>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157.57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71.8%</w:t>
      </w:r>
      <w:r>
        <w:rPr>
          <w:rFonts w:ascii="方正仿宋_GBK" w:hAnsi="方正仿宋_GBK" w:eastAsia="方正仿宋_GBK" w:cs="方正仿宋_GBK"/>
          <w:sz w:val="32"/>
          <w:szCs w:val="32"/>
          <w:shd w:val="clear" w:color="auto" w:fill="FFFFFF"/>
        </w:rPr>
        <w:t>，较年初预算数减少606.50万元，下降79.4%，主要原因是人员调出及商品服务支出减少。</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47.38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21.6%</w:t>
      </w:r>
      <w:r>
        <w:rPr>
          <w:rFonts w:ascii="方正仿宋_GBK" w:hAnsi="方正仿宋_GBK" w:eastAsia="方正仿宋_GBK" w:cs="方正仿宋_GBK"/>
          <w:sz w:val="32"/>
          <w:szCs w:val="32"/>
          <w:shd w:val="clear" w:color="auto" w:fill="FFFFFF"/>
        </w:rPr>
        <w:t>，较年初预算数增加6.33万元，增长15.4%，主要原因是退休人员退休一次性补贴等增加。</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6.59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3.0%</w:t>
      </w:r>
      <w:r>
        <w:rPr>
          <w:rFonts w:ascii="方正仿宋_GBK" w:hAnsi="方正仿宋_GBK" w:eastAsia="方正仿宋_GBK" w:cs="方正仿宋_GBK"/>
          <w:sz w:val="32"/>
          <w:szCs w:val="32"/>
          <w:shd w:val="clear" w:color="auto" w:fill="FFFFFF"/>
        </w:rPr>
        <w:t>，较年初预算数减少2.17万元，下降24.8%，主要原因是人员调出及增加退休1人。</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住房保障支出7.99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3.6%</w:t>
      </w:r>
      <w:r>
        <w:rPr>
          <w:rFonts w:ascii="方正仿宋_GBK" w:hAnsi="方正仿宋_GBK" w:eastAsia="方正仿宋_GBK" w:cs="方正仿宋_GBK"/>
          <w:sz w:val="32"/>
          <w:szCs w:val="32"/>
          <w:shd w:val="clear" w:color="auto" w:fill="FFFFFF"/>
        </w:rPr>
        <w:t>，较年初预算数减少2.53万元，下降24.1%，主要原因是人员调出及增加退休1人。</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w:t>
      </w:r>
      <w:r>
        <w:rPr>
          <w:rFonts w:hint="eastAsia" w:ascii="方正仿宋_GBK" w:hAnsi="方正仿宋_GBK" w:eastAsia="方正仿宋_GBK" w:cs="方正仿宋_GBK"/>
          <w:sz w:val="32"/>
          <w:szCs w:val="32"/>
          <w:shd w:val="clear" w:color="auto" w:fill="FFFFFF"/>
          <w:lang w:val="en-US" w:eastAsia="zh-CN"/>
        </w:rPr>
        <w:t>预算</w:t>
      </w:r>
      <w:r>
        <w:rPr>
          <w:rFonts w:ascii="方正仿宋_GBK" w:hAnsi="方正仿宋_GBK" w:eastAsia="方正仿宋_GBK" w:cs="方正仿宋_GBK"/>
          <w:sz w:val="32"/>
          <w:szCs w:val="32"/>
          <w:shd w:val="clear" w:color="auto" w:fill="FFFFFF"/>
        </w:rPr>
        <w:t>财政拨款基本支出</w:t>
      </w:r>
      <w:r>
        <w:rPr>
          <w:rFonts w:ascii="方正仿宋_GBK" w:hAnsi="方正仿宋_GBK" w:eastAsia="方正仿宋_GBK" w:cs="方正仿宋_GBK"/>
          <w:sz w:val="32"/>
          <w:szCs w:val="32"/>
        </w:rPr>
        <w:t>219.52</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193.85</w:t>
      </w:r>
      <w:r>
        <w:rPr>
          <w:rFonts w:ascii="方正仿宋_GBK" w:hAnsi="方正仿宋_GBK" w:eastAsia="方正仿宋_GBK" w:cs="方正仿宋_GBK"/>
          <w:sz w:val="32"/>
          <w:szCs w:val="32"/>
          <w:shd w:val="clear" w:color="auto" w:fill="FFFFFF"/>
        </w:rPr>
        <w:t>万元，与2023年度相比，减少77.18万元，下降28.5%，主要原因是人员调出及增加退休1人。人员经费用途主要包括</w:t>
      </w:r>
      <w:r>
        <w:rPr>
          <w:rFonts w:ascii="方正仿宋_GBK" w:eastAsia="方正仿宋_GBK"/>
          <w:color w:val="000000" w:themeColor="text1"/>
          <w:sz w:val="32"/>
          <w:szCs w:val="32"/>
        </w:rPr>
        <w:t>统发工资、绩效工资、社会保障和就业支出、医疗卫生支出和住房保障支出。</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25.67</w:t>
      </w:r>
      <w:r>
        <w:rPr>
          <w:rFonts w:ascii="方正仿宋_GBK" w:hAnsi="方正仿宋_GBK" w:eastAsia="方正仿宋_GBK" w:cs="方正仿宋_GBK"/>
          <w:sz w:val="32"/>
          <w:szCs w:val="32"/>
          <w:shd w:val="clear" w:color="auto" w:fill="FFFFFF"/>
        </w:rPr>
        <w:t>万元，与2023年度相比，减少8.61万元，下降25.1%，主要原因是人员调出及厉行节约。公用经费用途主要包括</w:t>
      </w:r>
      <w:r>
        <w:rPr>
          <w:rFonts w:ascii="Times New Roman" w:hAnsi="Times New Roman" w:eastAsia="方正仿宋_GBK" w:cs="方正仿宋_GBK"/>
          <w:sz w:val="32"/>
          <w:szCs w:val="32"/>
        </w:rPr>
        <w:t>办公费、印刷费、差旅费、培训费、维护维修等商品服务等支出。</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rPr>
        <w:t>本年度无政府性基金预算财政拨款支出。本单位2024年度无政府性基金预算财政拨款收支。</w:t>
      </w:r>
    </w:p>
    <w:p>
      <w:pPr>
        <w:pStyle w:val="11"/>
        <w:autoSpaceDE w:val="0"/>
        <w:ind w:firstLine="640"/>
        <w:rPr>
          <w:rFonts w:ascii="方正仿宋_GBK" w:eastAsia="方正仿宋_GBK"/>
          <w:color w:val="000000" w:themeColor="text1"/>
          <w:sz w:val="32"/>
          <w:szCs w:val="32"/>
        </w:rPr>
      </w:pP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color w:val="000000" w:themeColor="text1"/>
          <w:sz w:val="32"/>
          <w:szCs w:val="32"/>
          <w:shd w:val="clear" w:color="auto" w:fill="FFFFFF"/>
        </w:rPr>
        <w:t>2024年度国有资本经营预算财政拨</w:t>
      </w:r>
      <w:r>
        <w:rPr>
          <w:rFonts w:hint="eastAsia" w:ascii="方正仿宋_GBK" w:hAnsi="方正仿宋_GBK" w:eastAsia="方正仿宋_GBK" w:cs="方正仿宋_GBK"/>
          <w:color w:val="000000" w:themeColor="text1"/>
          <w:sz w:val="32"/>
          <w:szCs w:val="32"/>
          <w:shd w:val="clear" w:color="auto" w:fill="FFFFFF"/>
          <w:lang w:val="en-US" w:eastAsia="zh-CN"/>
        </w:rPr>
        <w:t>款</w:t>
      </w:r>
      <w:r>
        <w:rPr>
          <w:rFonts w:ascii="方正仿宋_GBK" w:hAnsi="方正仿宋_GBK" w:eastAsia="方正仿宋_GBK" w:cs="方正仿宋_GBK"/>
          <w:color w:val="000000" w:themeColor="text1"/>
          <w:sz w:val="32"/>
          <w:szCs w:val="32"/>
          <w:shd w:val="clear" w:color="auto" w:fill="FFFFFF"/>
        </w:rPr>
        <w:t>本年支出</w:t>
      </w:r>
      <w:r>
        <w:rPr>
          <w:rFonts w:ascii="方正仿宋_GBK" w:hAnsi="方正仿宋_GBK" w:eastAsia="方正仿宋_GBK" w:cs="方正仿宋_GBK"/>
          <w:color w:val="000000" w:themeColor="text1"/>
          <w:sz w:val="32"/>
          <w:szCs w:val="32"/>
        </w:rPr>
        <w:t>0.00</w:t>
      </w:r>
      <w:r>
        <w:rPr>
          <w:rFonts w:ascii="方正仿宋_GBK" w:hAnsi="方正仿宋_GBK" w:eastAsia="方正仿宋_GBK" w:cs="方正仿宋_GBK"/>
          <w:color w:val="000000" w:themeColor="text1"/>
          <w:sz w:val="32"/>
          <w:szCs w:val="32"/>
          <w:shd w:val="clear" w:color="auto" w:fill="FFFFFF"/>
        </w:rPr>
        <w:t>万元，基本支出</w:t>
      </w:r>
      <w:r>
        <w:rPr>
          <w:rFonts w:ascii="方正仿宋_GBK" w:hAnsi="方正仿宋_GBK" w:eastAsia="方正仿宋_GBK" w:cs="方正仿宋_GBK"/>
          <w:color w:val="000000" w:themeColor="text1"/>
          <w:sz w:val="32"/>
          <w:szCs w:val="32"/>
        </w:rPr>
        <w:t>0.00</w:t>
      </w:r>
      <w:r>
        <w:rPr>
          <w:rFonts w:ascii="方正仿宋_GBK" w:hAnsi="方正仿宋_GBK" w:eastAsia="方正仿宋_GBK" w:cs="方正仿宋_GBK"/>
          <w:color w:val="000000" w:themeColor="text1"/>
          <w:sz w:val="32"/>
          <w:szCs w:val="32"/>
          <w:shd w:val="clear" w:color="auto" w:fill="FFFFFF"/>
        </w:rPr>
        <w:t>万元，项目支出</w:t>
      </w:r>
      <w:r>
        <w:rPr>
          <w:rFonts w:ascii="方正仿宋_GBK" w:hAnsi="方正仿宋_GBK" w:eastAsia="方正仿宋_GBK" w:cs="方正仿宋_GBK"/>
          <w:color w:val="000000" w:themeColor="text1"/>
          <w:sz w:val="32"/>
          <w:szCs w:val="32"/>
        </w:rPr>
        <w:t>0.00</w:t>
      </w:r>
      <w:r>
        <w:rPr>
          <w:rFonts w:ascii="方正仿宋_GBK" w:hAnsi="方正仿宋_GBK" w:eastAsia="方正仿宋_GBK" w:cs="方正仿宋_GBK"/>
          <w:color w:val="000000" w:themeColor="text1"/>
          <w:sz w:val="32"/>
          <w:szCs w:val="32"/>
          <w:shd w:val="clear" w:color="auto" w:fill="FFFFFF"/>
        </w:rPr>
        <w:t>万元</w:t>
      </w:r>
      <w:r>
        <w:rPr>
          <w:rFonts w:ascii="方正仿宋_GBK" w:eastAsia="方正仿宋_GBK"/>
          <w:color w:val="000000" w:themeColor="text1"/>
          <w:sz w:val="32"/>
          <w:szCs w:val="32"/>
        </w:rPr>
        <w:t>。本单位2024年度无国有资本经营预算财政拨款支出。</w:t>
      </w:r>
    </w:p>
    <w:p>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三、财政拨款“三公”经费情况说明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ind w:firstLine="640" w:firstLineChars="200"/>
        <w:rPr>
          <w:rFonts w:hint="default" w:ascii="方正仿宋_GBK" w:eastAsia="方正仿宋_GBK"/>
          <w:color w:val="000000" w:themeColor="text1"/>
          <w:sz w:val="32"/>
          <w:szCs w:val="32"/>
        </w:rPr>
      </w:pPr>
      <w:r>
        <w:rPr>
          <w:rFonts w:ascii="方正仿宋_GBK" w:hAnsi="方正仿宋_GBK" w:eastAsia="方正仿宋_GBK" w:cs="方正仿宋_GBK"/>
          <w:color w:val="000000" w:themeColor="text1"/>
          <w:sz w:val="32"/>
          <w:szCs w:val="32"/>
          <w:shd w:val="clear" w:color="auto" w:fill="FFFFFF"/>
        </w:rPr>
        <w:t>2024年度“三公”经费支出共计</w:t>
      </w:r>
      <w:r>
        <w:rPr>
          <w:rFonts w:ascii="方正仿宋_GBK" w:hAnsi="方正仿宋_GBK" w:eastAsia="方正仿宋_GBK" w:cs="方正仿宋_GBK"/>
          <w:color w:val="000000" w:themeColor="text1"/>
          <w:sz w:val="32"/>
          <w:szCs w:val="32"/>
        </w:rPr>
        <w:t>0.00</w:t>
      </w:r>
      <w:r>
        <w:rPr>
          <w:rFonts w:ascii="方正仿宋_GBK" w:hAnsi="方正仿宋_GBK" w:eastAsia="方正仿宋_GBK" w:cs="方正仿宋_GBK"/>
          <w:color w:val="000000" w:themeColor="text1"/>
          <w:sz w:val="32"/>
          <w:szCs w:val="32"/>
          <w:shd w:val="clear" w:color="auto" w:fill="FFFFFF"/>
        </w:rPr>
        <w:t>万元，较年初预算数无增减，</w:t>
      </w:r>
      <w:r>
        <w:rPr>
          <w:rFonts w:ascii="方正仿宋_GBK" w:eastAsia="方正仿宋_GBK"/>
          <w:color w:val="000000" w:themeColor="text1"/>
          <w:sz w:val="32"/>
          <w:szCs w:val="32"/>
        </w:rPr>
        <w:t>主要原因是年初预算数未安排“三公”经费支出。较上年支出数无增减，主要原因是上年和本年均未发生</w:t>
      </w:r>
      <w:r>
        <w:rPr>
          <w:rFonts w:ascii="方正仿宋_GBK" w:eastAsia="方正仿宋_GBK"/>
          <w:bCs/>
          <w:color w:val="000000" w:themeColor="text1"/>
          <w:sz w:val="32"/>
          <w:szCs w:val="32"/>
        </w:rPr>
        <w:t>“三公”经费开支</w:t>
      </w:r>
      <w:r>
        <w:rPr>
          <w:rFonts w:ascii="方正仿宋_GBK" w:eastAsia="方正仿宋_GBK"/>
          <w:color w:val="000000" w:themeColor="text1"/>
          <w:sz w:val="32"/>
          <w:szCs w:val="32"/>
        </w:rPr>
        <w:t>。</w:t>
      </w:r>
    </w:p>
    <w:p>
      <w:pPr>
        <w:pStyle w:val="11"/>
        <w:autoSpaceDE w:val="0"/>
        <w:ind w:firstLine="640"/>
        <w:rPr>
          <w:rFonts w:ascii="方正楷体_GBK" w:hAnsi="楷体" w:eastAsia="方正楷体_GBK" w:cs="楷体"/>
          <w:b/>
          <w:bCs/>
          <w:color w:val="000000" w:themeColor="text1"/>
          <w:sz w:val="32"/>
          <w:szCs w:val="32"/>
          <w:shd w:val="clear" w:color="auto" w:fill="FFFFFF"/>
          <w:lang w:bidi="ar"/>
        </w:rPr>
      </w:pPr>
      <w:r>
        <w:rPr>
          <w:rFonts w:hint="eastAsia" w:ascii="方正楷体_GBK" w:hAnsi="楷体" w:eastAsia="方正楷体_GBK" w:cs="楷体"/>
          <w:b/>
          <w:bCs/>
          <w:color w:val="000000" w:themeColor="text1"/>
          <w:sz w:val="32"/>
          <w:szCs w:val="32"/>
          <w:shd w:val="clear" w:color="auto" w:fill="FFFFFF"/>
          <w:lang w:bidi="ar"/>
        </w:rPr>
        <w:t>（二）“三公”经费分项支出情况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kern w:val="0"/>
          <w:sz w:val="32"/>
          <w:szCs w:val="32"/>
          <w:shd w:val="clear" w:color="auto" w:fill="FFFFFF"/>
        </w:rPr>
        <w:t>2024年度本</w:t>
      </w:r>
      <w:r>
        <w:rPr>
          <w:rFonts w:hint="eastAsia" w:ascii="方正仿宋_GBK" w:hAnsi="方正仿宋_GBK" w:eastAsia="方正仿宋_GBK" w:cs="方正仿宋_GBK"/>
          <w:kern w:val="0"/>
          <w:sz w:val="32"/>
          <w:szCs w:val="32"/>
          <w:shd w:val="clear" w:color="auto" w:fill="FFFFFF"/>
        </w:rPr>
        <w:t>单位</w:t>
      </w:r>
      <w:r>
        <w:rPr>
          <w:rFonts w:ascii="方正仿宋_GBK" w:hAnsi="方正仿宋_GBK" w:eastAsia="方正仿宋_GBK" w:cs="方正仿宋_GBK"/>
          <w:kern w:val="0"/>
          <w:sz w:val="32"/>
          <w:szCs w:val="32"/>
          <w:shd w:val="clear" w:color="auto" w:fill="FFFFFF"/>
        </w:rPr>
        <w:t>因公出国（境）费用0.00万元。费用支出较年初预算数无增减，主要原因是年初预算未安排因公出国（境）费用，也未发生因公出国（境）费用。较上年支出数无增减，主要原因是上年和本年均未发生因公出国（境）费用。</w:t>
      </w:r>
    </w:p>
    <w:p>
      <w:pPr>
        <w:widowControl/>
        <w:adjustRightInd w:val="0"/>
        <w:snapToGrid w:val="0"/>
        <w:spacing w:line="600" w:lineRule="exact"/>
        <w:ind w:firstLine="640" w:firstLineChars="200"/>
        <w:rPr>
          <w:rFonts w:ascii="方正仿宋_GBK" w:hAnsi="方正仿宋_GBK" w:eastAsia="方正仿宋_GBK" w:cs="方正仿宋_GBK"/>
          <w:kern w:val="0"/>
          <w:sz w:val="32"/>
          <w:szCs w:val="32"/>
          <w:shd w:val="clear" w:color="auto" w:fill="FFFFFF"/>
        </w:rPr>
      </w:pPr>
      <w:r>
        <w:rPr>
          <w:rFonts w:ascii="方正仿宋_GBK" w:hAnsi="方正仿宋_GBK" w:eastAsia="方正仿宋_GBK" w:cs="方正仿宋_GBK"/>
          <w:kern w:val="0"/>
          <w:sz w:val="32"/>
          <w:szCs w:val="32"/>
          <w:shd w:val="clear" w:color="auto" w:fill="FFFFFF"/>
        </w:rPr>
        <w:t>公务车购置费0.00万元。费用支出较年初预算数无增减，主要原因是年初预算未安排且本年未发生公务车购置费用。较上年支出数无增减，主要原因是上年和本年均未发生公务车购置费用。</w:t>
      </w:r>
    </w:p>
    <w:p>
      <w:pPr>
        <w:widowControl/>
        <w:adjustRightInd w:val="0"/>
        <w:snapToGrid w:val="0"/>
        <w:spacing w:line="600" w:lineRule="exact"/>
        <w:ind w:firstLine="640" w:firstLineChars="200"/>
        <w:rPr>
          <w:rFonts w:ascii="方正仿宋_GBK" w:hAnsi="方正仿宋_GBK" w:eastAsia="方正仿宋_GBK" w:cs="方正仿宋_GBK"/>
          <w:kern w:val="0"/>
          <w:sz w:val="32"/>
          <w:szCs w:val="32"/>
          <w:shd w:val="clear" w:color="auto" w:fill="FFFFFF"/>
        </w:rPr>
      </w:pPr>
      <w:r>
        <w:rPr>
          <w:rFonts w:ascii="方正仿宋_GBK" w:hAnsi="方正仿宋_GBK" w:eastAsia="方正仿宋_GBK" w:cs="方正仿宋_GBK"/>
          <w:kern w:val="0"/>
          <w:sz w:val="32"/>
          <w:szCs w:val="32"/>
          <w:shd w:val="clear" w:color="auto" w:fill="FFFFFF"/>
        </w:rPr>
        <w:t xml:space="preserve"> 公务车运行维护费0.00万元。费用支出较年初预算数无增减，主要原因是年初预算未安排且本年未发生公务车运行维护费用。较上年支出数无增减，主要原因是上年和本年均未发生公务车运行维护费用。</w:t>
      </w:r>
    </w:p>
    <w:p>
      <w:pPr>
        <w:pStyle w:val="11"/>
        <w:autoSpaceDE w:val="0"/>
        <w:ind w:firstLine="643"/>
        <w:rPr>
          <w:rFonts w:ascii="方正仿宋_GBK" w:eastAsia="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主要原因是年初预算未安排且本年未发生公务接待费用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pStyle w:val="11"/>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（三）“三公”经费实物量情况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人。2023年本部门人均接待费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（一）财政拨款会议费和培训费情况说明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万元，与2023年度相比，无增减，主要原因是本年度无会议费支出。本年度培训费支出</w:t>
      </w:r>
      <w:r>
        <w:rPr>
          <w:rFonts w:ascii="方正仿宋_GBK" w:hAnsi="方正仿宋_GBK" w:eastAsia="方正仿宋_GBK" w:cs="方正仿宋_GBK"/>
          <w:sz w:val="32"/>
          <w:szCs w:val="32"/>
        </w:rPr>
        <w:t>0.45</w:t>
      </w:r>
      <w:r>
        <w:rPr>
          <w:rFonts w:ascii="方正仿宋_GBK" w:hAnsi="方正仿宋_GBK" w:eastAsia="方正仿宋_GBK" w:cs="方正仿宋_GBK"/>
          <w:sz w:val="32"/>
          <w:szCs w:val="32"/>
          <w:shd w:val="clear" w:color="auto" w:fill="FFFFFF"/>
        </w:rPr>
        <w:t>万元，与2023年度相比，减少0.57万元，下降55.9%，主要原因是本年安排培训减少。</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11"/>
        <w:autoSpaceDE w:val="0"/>
        <w:ind w:firstLine="640"/>
        <w:rPr>
          <w:rFonts w:hint="eastAsia"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color w:val="000000" w:themeColor="text1"/>
          <w:sz w:val="32"/>
          <w:szCs w:val="32"/>
          <w:shd w:val="clear" w:color="auto" w:fill="FFFFFF"/>
        </w:rPr>
        <w:t>202</w:t>
      </w:r>
      <w:r>
        <w:rPr>
          <w:rFonts w:hint="eastAsia" w:ascii="方正仿宋_GBK" w:hAnsi="方正仿宋_GBK" w:eastAsia="方正仿宋_GBK" w:cs="方正仿宋_GBK"/>
          <w:color w:val="000000" w:themeColor="text1"/>
          <w:sz w:val="32"/>
          <w:szCs w:val="32"/>
          <w:shd w:val="clear" w:color="auto" w:fill="FFFFFF"/>
        </w:rPr>
        <w:t>4</w:t>
      </w:r>
      <w:r>
        <w:rPr>
          <w:rFonts w:ascii="方正仿宋_GBK" w:hAnsi="方正仿宋_GBK" w:eastAsia="方正仿宋_GBK" w:cs="方正仿宋_GBK"/>
          <w:color w:val="000000" w:themeColor="text1"/>
          <w:sz w:val="32"/>
          <w:szCs w:val="32"/>
          <w:shd w:val="clear" w:color="auto" w:fill="FFFFFF"/>
        </w:rPr>
        <w:t>年度本部门机关运行经费支出</w:t>
      </w:r>
      <w:r>
        <w:rPr>
          <w:rFonts w:ascii="方正仿宋_GBK" w:hAnsi="方正仿宋_GBK" w:eastAsia="方正仿宋_GBK" w:cs="方正仿宋_GBK"/>
          <w:color w:val="000000" w:themeColor="text1"/>
          <w:sz w:val="32"/>
          <w:szCs w:val="32"/>
        </w:rPr>
        <w:t>0.00</w:t>
      </w:r>
      <w:r>
        <w:rPr>
          <w:rFonts w:ascii="方正仿宋_GBK" w:hAnsi="方正仿宋_GBK" w:eastAsia="方正仿宋_GBK" w:cs="方正仿宋_GBK"/>
          <w:color w:val="000000" w:themeColor="text1"/>
          <w:sz w:val="32"/>
          <w:szCs w:val="32"/>
          <w:shd w:val="clear" w:color="auto" w:fill="FFFFFF"/>
        </w:rPr>
        <w:t>万元，机关运行经费较上年支出数无增减，主要原因是按照部门决算列报口径，我单位不在机关运行经费统计范围之内。</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color w:val="000000" w:themeColor="text1"/>
          <w:sz w:val="32"/>
          <w:szCs w:val="32"/>
          <w:shd w:val="clear" w:color="auto" w:fill="FFFFFF"/>
        </w:rPr>
        <w:t>2024年度本部门政府采购支出总额</w:t>
      </w:r>
      <w:r>
        <w:rPr>
          <w:rFonts w:ascii="方正仿宋_GBK" w:hAnsi="方正仿宋_GBK" w:eastAsia="方正仿宋_GBK" w:cs="方正仿宋_GBK"/>
          <w:color w:val="000000" w:themeColor="text1"/>
          <w:sz w:val="32"/>
          <w:szCs w:val="32"/>
        </w:rPr>
        <w:t>0.00</w:t>
      </w:r>
      <w:r>
        <w:rPr>
          <w:rFonts w:ascii="方正仿宋_GBK" w:hAnsi="方正仿宋_GBK" w:eastAsia="方正仿宋_GBK" w:cs="方正仿宋_GBK"/>
          <w:color w:val="000000" w:themeColor="text1"/>
          <w:sz w:val="32"/>
          <w:szCs w:val="32"/>
          <w:shd w:val="clear" w:color="auto" w:fill="FFFFFF"/>
        </w:rPr>
        <w:t>万元，其中：政府采购货物支出</w:t>
      </w:r>
      <w:r>
        <w:rPr>
          <w:rFonts w:ascii="方正仿宋_GBK" w:hAnsi="方正仿宋_GBK" w:eastAsia="方正仿宋_GBK" w:cs="方正仿宋_GBK"/>
          <w:color w:val="000000" w:themeColor="text1"/>
          <w:sz w:val="32"/>
          <w:szCs w:val="32"/>
        </w:rPr>
        <w:t>0.00</w:t>
      </w:r>
      <w:r>
        <w:rPr>
          <w:rFonts w:ascii="方正仿宋_GBK" w:hAnsi="方正仿宋_GBK" w:eastAsia="方正仿宋_GBK" w:cs="方正仿宋_GBK"/>
          <w:color w:val="000000" w:themeColor="text1"/>
          <w:sz w:val="32"/>
          <w:szCs w:val="32"/>
          <w:shd w:val="clear" w:color="auto" w:fill="FFFFFF"/>
        </w:rPr>
        <w:t>万元、政府采购工程支出</w:t>
      </w:r>
      <w:r>
        <w:rPr>
          <w:rFonts w:ascii="方正仿宋_GBK" w:hAnsi="方正仿宋_GBK" w:eastAsia="方正仿宋_GBK" w:cs="方正仿宋_GBK"/>
          <w:color w:val="000000" w:themeColor="text1"/>
          <w:sz w:val="32"/>
          <w:szCs w:val="32"/>
        </w:rPr>
        <w:t>0.00</w:t>
      </w:r>
      <w:r>
        <w:rPr>
          <w:rFonts w:ascii="方正仿宋_GBK" w:hAnsi="方正仿宋_GBK" w:eastAsia="方正仿宋_GBK" w:cs="方正仿宋_GBK"/>
          <w:color w:val="000000" w:themeColor="text1"/>
          <w:sz w:val="32"/>
          <w:szCs w:val="32"/>
          <w:shd w:val="clear" w:color="auto" w:fill="FFFFFF"/>
        </w:rPr>
        <w:t>万元、政府采购服务支出</w:t>
      </w:r>
      <w:r>
        <w:rPr>
          <w:rFonts w:ascii="方正仿宋_GBK" w:hAnsi="方正仿宋_GBK" w:eastAsia="方正仿宋_GBK" w:cs="方正仿宋_GBK"/>
          <w:color w:val="000000" w:themeColor="text1"/>
          <w:sz w:val="32"/>
          <w:szCs w:val="32"/>
        </w:rPr>
        <w:t>0.00</w:t>
      </w:r>
      <w:r>
        <w:rPr>
          <w:rFonts w:ascii="方正仿宋_GBK" w:hAnsi="方正仿宋_GBK" w:eastAsia="方正仿宋_GBK" w:cs="方正仿宋_GBK"/>
          <w:color w:val="000000" w:themeColor="text1"/>
          <w:sz w:val="32"/>
          <w:szCs w:val="32"/>
          <w:shd w:val="clear" w:color="auto" w:fill="FFFFFF"/>
        </w:rPr>
        <w:t>万元。授予中小企业合同金额</w:t>
      </w:r>
      <w:r>
        <w:rPr>
          <w:rFonts w:ascii="方正仿宋_GBK" w:hAnsi="方正仿宋_GBK" w:eastAsia="方正仿宋_GBK" w:cs="方正仿宋_GBK"/>
          <w:color w:val="000000" w:themeColor="text1"/>
          <w:sz w:val="32"/>
          <w:szCs w:val="32"/>
        </w:rPr>
        <w:t>0.00万</w:t>
      </w:r>
      <w:r>
        <w:rPr>
          <w:rFonts w:ascii="方正仿宋_GBK" w:hAnsi="方正仿宋_GBK" w:eastAsia="方正仿宋_GBK" w:cs="方正仿宋_GBK"/>
          <w:color w:val="000000" w:themeColor="text1"/>
          <w:sz w:val="32"/>
          <w:szCs w:val="32"/>
          <w:shd w:val="clear" w:color="auto" w:fill="FFFFFF"/>
        </w:rPr>
        <w:t>元，占政府采购支出总额的</w:t>
      </w:r>
      <w:r>
        <w:rPr>
          <w:rFonts w:ascii="方正仿宋_GBK" w:hAnsi="方正仿宋_GBK" w:eastAsia="方正仿宋_GBK" w:cs="方正仿宋_GBK"/>
          <w:color w:val="000000" w:themeColor="text1"/>
          <w:sz w:val="32"/>
          <w:szCs w:val="32"/>
        </w:rPr>
        <w:t>0</w:t>
      </w:r>
      <w:r>
        <w:rPr>
          <w:rFonts w:hint="eastAsia" w:ascii="方正仿宋_GBK" w:hAnsi="方正仿宋_GBK" w:eastAsia="方正仿宋_GBK" w:cs="方正仿宋_GBK"/>
          <w:color w:val="000000" w:themeColor="text1"/>
          <w:sz w:val="32"/>
          <w:szCs w:val="32"/>
          <w:lang w:val="en-US" w:eastAsia="zh-CN"/>
        </w:rPr>
        <w:t>.00</w:t>
      </w:r>
      <w:r>
        <w:rPr>
          <w:rFonts w:ascii="方正仿宋_GBK" w:hAnsi="方正仿宋_GBK" w:eastAsia="方正仿宋_GBK" w:cs="方正仿宋_GBK"/>
          <w:color w:val="000000" w:themeColor="text1"/>
          <w:sz w:val="32"/>
          <w:szCs w:val="32"/>
          <w:shd w:val="clear" w:color="auto" w:fill="FFFFFF"/>
        </w:rPr>
        <w:t>%，其中：授予小微企业合同金额</w:t>
      </w:r>
      <w:r>
        <w:rPr>
          <w:rFonts w:ascii="方正仿宋_GBK" w:hAnsi="方正仿宋_GBK" w:eastAsia="方正仿宋_GBK" w:cs="方正仿宋_GBK"/>
          <w:color w:val="000000" w:themeColor="text1"/>
          <w:sz w:val="32"/>
          <w:szCs w:val="32"/>
        </w:rPr>
        <w:t>0.00</w:t>
      </w:r>
      <w:r>
        <w:rPr>
          <w:rFonts w:ascii="方正仿宋_GBK" w:hAnsi="方正仿宋_GBK" w:eastAsia="方正仿宋_GBK" w:cs="方正仿宋_GBK"/>
          <w:color w:val="000000" w:themeColor="text1"/>
          <w:sz w:val="32"/>
          <w:szCs w:val="32"/>
          <w:shd w:val="clear" w:color="auto" w:fill="FFFFFF"/>
        </w:rPr>
        <w:t>万元，占政府采购支出总额的</w:t>
      </w:r>
      <w:r>
        <w:rPr>
          <w:rFonts w:ascii="方正仿宋_GBK" w:hAnsi="方正仿宋_GBK" w:eastAsia="方正仿宋_GBK" w:cs="方正仿宋_GBK"/>
          <w:color w:val="000000" w:themeColor="text1"/>
          <w:sz w:val="32"/>
          <w:szCs w:val="32"/>
        </w:rPr>
        <w:t>0</w:t>
      </w:r>
      <w:r>
        <w:rPr>
          <w:rFonts w:hint="eastAsia" w:ascii="方正仿宋_GBK" w:hAnsi="方正仿宋_GBK" w:eastAsia="方正仿宋_GBK" w:cs="方正仿宋_GBK"/>
          <w:color w:val="000000" w:themeColor="text1"/>
          <w:sz w:val="32"/>
          <w:szCs w:val="32"/>
          <w:lang w:val="en-US" w:eastAsia="zh-CN"/>
        </w:rPr>
        <w:t>.0</w:t>
      </w:r>
      <w:r>
        <w:rPr>
          <w:rFonts w:ascii="方正仿宋_GBK" w:hAnsi="方正仿宋_GBK" w:eastAsia="方正仿宋_GBK" w:cs="方正仿宋_GBK"/>
          <w:color w:val="000000" w:themeColor="text1"/>
          <w:sz w:val="32"/>
          <w:szCs w:val="32"/>
          <w:shd w:val="clear" w:color="auto" w:fill="FFFFFF"/>
        </w:rPr>
        <w:t>%。2024年度我单位未发生政府采购事项，无相关经费支出。</w:t>
      </w:r>
    </w:p>
    <w:p>
      <w:pPr>
        <w:pStyle w:val="12"/>
        <w:spacing w:before="0" w:beforeAutospacing="0" w:after="0" w:afterAutospacing="0" w:line="596" w:lineRule="exact"/>
        <w:ind w:firstLine="643" w:firstLineChars="200"/>
        <w:rPr>
          <w:rStyle w:val="10"/>
          <w:rFonts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rPr>
        <w:t>五、2024年度预算绩效管理情况说明</w:t>
      </w:r>
    </w:p>
    <w:p>
      <w:pPr>
        <w:pStyle w:val="11"/>
        <w:autoSpaceDE w:val="0"/>
        <w:ind w:firstLine="640"/>
        <w:rPr>
          <w:rFonts w:ascii="方正楷体_GBK" w:hAnsi="楷体" w:eastAsia="方正楷体_GBK" w:cs="楷体"/>
          <w:b/>
          <w:bCs/>
          <w:color w:val="000000" w:themeColor="text1"/>
          <w:sz w:val="32"/>
          <w:szCs w:val="32"/>
          <w:shd w:val="clear" w:color="auto" w:fill="FFFFFF"/>
          <w:lang w:bidi="ar"/>
        </w:rPr>
      </w:pPr>
      <w:r>
        <w:rPr>
          <w:rFonts w:hint="eastAsia" w:ascii="方正楷体_GBK" w:hAnsi="楷体" w:eastAsia="方正楷体_GBK" w:cs="楷体"/>
          <w:b/>
          <w:bCs/>
          <w:color w:val="000000" w:themeColor="text1"/>
          <w:sz w:val="32"/>
          <w:szCs w:val="32"/>
          <w:shd w:val="clear" w:color="auto" w:fill="FFFFFF"/>
          <w:lang w:bidi="ar"/>
        </w:rPr>
        <w:t>（一）单位自评情况</w:t>
      </w:r>
    </w:p>
    <w:p>
      <w:pPr>
        <w:pStyle w:val="11"/>
        <w:autoSpaceDE w:val="0"/>
        <w:ind w:left="320" w:firstLine="640"/>
        <w:rPr>
          <w:rFonts w:ascii="方正仿宋_GBK" w:hAnsi="方正仿宋_GBK" w:eastAsia="方正仿宋_GBK" w:cs="方正仿宋_GBK"/>
          <w:color w:val="000000" w:themeColor="text1"/>
          <w:sz w:val="32"/>
          <w:szCs w:val="32"/>
          <w:shd w:val="clear" w:color="auto" w:fill="FFFFFF"/>
        </w:rPr>
      </w:pPr>
      <w:r>
        <w:rPr>
          <w:rFonts w:hint="eastAsia" w:ascii="方正仿宋_GBK" w:hAnsi="方正仿宋_GBK" w:eastAsia="方正仿宋_GBK" w:cs="方正仿宋_GBK"/>
          <w:color w:val="000000" w:themeColor="text1"/>
          <w:sz w:val="32"/>
          <w:szCs w:val="32"/>
          <w:shd w:val="clear" w:color="auto" w:fill="FFFFFF"/>
        </w:rPr>
        <w:t>根据预算绩效管理要求，我单位对</w:t>
      </w:r>
      <w:r>
        <w:rPr>
          <w:rFonts w:ascii="方正仿宋_GBK" w:hAnsi="方正仿宋_GBK" w:eastAsia="方正仿宋_GBK" w:cs="方正仿宋_GBK"/>
          <w:color w:val="000000" w:themeColor="text1"/>
          <w:sz w:val="32"/>
          <w:szCs w:val="32"/>
          <w:shd w:val="clear" w:color="auto" w:fill="FFFFFF"/>
        </w:rPr>
        <w:t>0</w:t>
      </w:r>
      <w:r>
        <w:rPr>
          <w:rFonts w:hint="eastAsia" w:ascii="方正仿宋_GBK" w:hAnsi="方正仿宋_GBK" w:eastAsia="方正仿宋_GBK" w:cs="方正仿宋_GBK"/>
          <w:color w:val="000000" w:themeColor="text1"/>
          <w:sz w:val="32"/>
          <w:szCs w:val="32"/>
          <w:shd w:val="clear" w:color="auto" w:fill="FFFFFF"/>
        </w:rPr>
        <w:t>个二级项目开展了绩效自评，涉及财政拨款项目支出资金</w:t>
      </w:r>
      <w:r>
        <w:rPr>
          <w:rFonts w:ascii="方正仿宋_GBK" w:hAnsi="方正仿宋_GBK" w:eastAsia="方正仿宋_GBK" w:cs="方正仿宋_GBK"/>
          <w:color w:val="000000" w:themeColor="text1"/>
          <w:sz w:val="32"/>
          <w:szCs w:val="32"/>
          <w:shd w:val="clear" w:color="auto" w:fill="FFFFFF"/>
        </w:rPr>
        <w:t>0.00</w:t>
      </w:r>
      <w:r>
        <w:rPr>
          <w:rFonts w:hint="eastAsia" w:ascii="方正仿宋_GBK" w:hAnsi="方正仿宋_GBK" w:eastAsia="方正仿宋_GBK" w:cs="方正仿宋_GBK"/>
          <w:color w:val="000000" w:themeColor="text1"/>
          <w:sz w:val="32"/>
          <w:szCs w:val="32"/>
          <w:shd w:val="clear" w:color="auto" w:fill="FFFFFF"/>
        </w:rPr>
        <w:t>万元。</w:t>
      </w:r>
    </w:p>
    <w:p>
      <w:pPr>
        <w:pStyle w:val="11"/>
        <w:autoSpaceDE w:val="0"/>
        <w:ind w:left="320" w:firstLine="0" w:firstLineChars="0"/>
        <w:rPr>
          <w:rFonts w:ascii="方正楷体_GBK" w:hAnsi="楷体" w:eastAsia="方正楷体_GBK" w:cs="楷体"/>
          <w:b/>
          <w:bCs/>
          <w:color w:val="000000" w:themeColor="text1"/>
          <w:sz w:val="32"/>
          <w:szCs w:val="32"/>
          <w:shd w:val="clear" w:color="auto" w:fill="FFFFFF"/>
          <w:lang w:bidi="ar"/>
        </w:rPr>
      </w:pPr>
      <w:r>
        <w:rPr>
          <w:rFonts w:hint="eastAsia" w:ascii="方正楷体_GBK" w:hAnsi="楷体" w:eastAsia="方正楷体_GBK" w:cs="楷体"/>
          <w:b/>
          <w:bCs/>
          <w:color w:val="000000" w:themeColor="text1"/>
          <w:sz w:val="32"/>
          <w:szCs w:val="32"/>
          <w:shd w:val="clear" w:color="auto" w:fill="FFFFFF"/>
          <w:lang w:bidi="ar"/>
        </w:rPr>
        <w:t>（二）单位绩效评价情况</w:t>
      </w:r>
    </w:p>
    <w:p>
      <w:pPr>
        <w:pStyle w:val="11"/>
        <w:autoSpaceDE w:val="0"/>
        <w:ind w:firstLine="640"/>
        <w:rPr>
          <w:rFonts w:ascii="方正仿宋_GBK" w:hAnsi="方正仿宋_GBK" w:eastAsia="方正仿宋_GBK" w:cs="方正仿宋_GBK"/>
          <w:color w:val="000000" w:themeColor="text1"/>
          <w:sz w:val="32"/>
          <w:szCs w:val="32"/>
          <w:shd w:val="clear" w:color="auto" w:fill="FFFFFF"/>
        </w:rPr>
      </w:pPr>
      <w:r>
        <w:rPr>
          <w:rFonts w:ascii="方正仿宋_GBK" w:hAnsi="方正仿宋_GBK" w:eastAsia="方正仿宋_GBK" w:cs="方正仿宋_GBK"/>
          <w:color w:val="000000" w:themeColor="text1"/>
          <w:sz w:val="32"/>
          <w:szCs w:val="32"/>
          <w:shd w:val="clear" w:color="auto" w:fill="FFFFFF"/>
        </w:rPr>
        <w:t>我单位未组织开展绩效评价。</w:t>
      </w:r>
    </w:p>
    <w:p>
      <w:pPr>
        <w:pStyle w:val="11"/>
        <w:autoSpaceDE w:val="0"/>
        <w:ind w:firstLine="640"/>
        <w:rPr>
          <w:rFonts w:ascii="方正楷体_GBK" w:hAnsi="楷体" w:eastAsia="方正楷体_GBK" w:cs="楷体"/>
          <w:b/>
          <w:bCs/>
          <w:color w:val="000000" w:themeColor="text1"/>
          <w:sz w:val="32"/>
          <w:szCs w:val="32"/>
          <w:shd w:val="clear" w:color="auto" w:fill="FFFFFF"/>
          <w:lang w:bidi="ar"/>
        </w:rPr>
      </w:pPr>
      <w:r>
        <w:rPr>
          <w:rFonts w:hint="eastAsia" w:ascii="方正楷体_GBK" w:hAnsi="楷体" w:eastAsia="方正楷体_GBK" w:cs="楷体"/>
          <w:b/>
          <w:bCs/>
          <w:color w:val="000000" w:themeColor="text1"/>
          <w:sz w:val="32"/>
          <w:szCs w:val="32"/>
          <w:shd w:val="clear" w:color="auto" w:fill="FFFFFF"/>
          <w:lang w:bidi="ar"/>
        </w:rPr>
        <w:t>（三）财政绩效评价情况</w:t>
      </w:r>
    </w:p>
    <w:p>
      <w:pPr>
        <w:pStyle w:val="11"/>
        <w:autoSpaceDE w:val="0"/>
        <w:ind w:firstLine="640"/>
        <w:rPr>
          <w:rFonts w:ascii="方正仿宋_GBK" w:hAnsi="方正仿宋_GBK" w:eastAsia="方正仿宋_GBK" w:cs="方正仿宋_GBK"/>
          <w:color w:val="000000" w:themeColor="text1"/>
          <w:sz w:val="32"/>
          <w:szCs w:val="32"/>
          <w:shd w:val="clear" w:color="auto" w:fill="FFFFFF"/>
        </w:rPr>
      </w:pPr>
      <w:r>
        <w:rPr>
          <w:rFonts w:hint="eastAsia" w:ascii="方正仿宋_GBK" w:hAnsi="方正仿宋_GBK" w:eastAsia="方正仿宋_GBK" w:cs="方正仿宋_GBK"/>
          <w:color w:val="000000" w:themeColor="text1"/>
          <w:sz w:val="32"/>
          <w:szCs w:val="32"/>
          <w:shd w:val="clear" w:color="auto" w:fill="FFFFFF"/>
        </w:rPr>
        <w:t>县财政局未委托第三方对我单位开展绩效评价。</w:t>
      </w:r>
    </w:p>
    <w:p>
      <w:pPr>
        <w:pStyle w:val="12"/>
        <w:autoSpaceDE w:val="0"/>
        <w:spacing w:before="0" w:beforeAutospacing="0" w:after="0" w:afterAutospacing="0" w:line="596" w:lineRule="exact"/>
        <w:rPr>
          <w:rFonts w:ascii="方正仿宋_GBK" w:hAnsi="方正仿宋_GBK" w:eastAsia="方正仿宋_GBK" w:cs="方正仿宋_GBK"/>
          <w:sz w:val="32"/>
          <w:szCs w:val="32"/>
        </w:rPr>
      </w:pPr>
      <w:r>
        <w:rPr>
          <w:rStyle w:val="13"/>
          <w:rFonts w:hint="eastAsia" w:ascii="方正仿宋_GBK" w:hAnsi="方正仿宋_GBK" w:eastAsia="方正仿宋_GBK" w:cs="方正仿宋_GBK"/>
          <w:sz w:val="32"/>
          <w:szCs w:val="32"/>
          <w:shd w:val="clear" w:color="auto" w:fill="FFFFFF"/>
        </w:rPr>
        <w:t xml:space="preserve">   </w:t>
      </w:r>
      <w:r>
        <w:rPr>
          <w:rStyle w:val="10"/>
          <w:rFonts w:hint="eastAsia" w:ascii="黑体" w:hAnsi="黑体" w:eastAsia="黑体" w:cs="黑体"/>
          <w:sz w:val="32"/>
          <w:szCs w:val="32"/>
          <w:shd w:val="clear" w:color="auto" w:fill="FFFFFF"/>
        </w:rPr>
        <w:t xml:space="preserve"> 六、专业名词解释</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指单位在当年的“财政拨款收入”“事业收入”“经营收入”</w:t>
      </w:r>
      <w:bookmarkStart w:id="0" w:name="_GoBack"/>
      <w:bookmarkEnd w:id="0"/>
      <w:r>
        <w:rPr>
          <w:rFonts w:hint="eastAsia" w:ascii="方正仿宋_GBK" w:hAnsi="方正仿宋_GBK" w:eastAsia="方正仿宋_GBK" w:cs="方正仿宋_GBK"/>
          <w:sz w:val="32"/>
          <w:szCs w:val="32"/>
          <w:shd w:val="clear" w:color="auto" w:fill="FFFFFF"/>
        </w:rPr>
        <w:t>“其他收入”等不足以安排当年支出的情况下，使用以前年度积累的非财政拨款结余弥补本年度收支缺口的资金。</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黑体" w:hAnsi="黑体" w:eastAsia="黑体" w:cs="黑体"/>
          <w:sz w:val="32"/>
          <w:szCs w:val="32"/>
          <w:shd w:val="clear" w:color="auto" w:fill="FFFFFF"/>
        </w:rPr>
        <w:t>七、决算公开联系方式及信息反馈渠道</w:t>
      </w:r>
    </w:p>
    <w:p>
      <w:pPr>
        <w:pStyle w:val="12"/>
        <w:spacing w:before="0" w:beforeAutospacing="0" w:after="0" w:afterAutospacing="0" w:line="596"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w:t>
      </w:r>
    </w:p>
    <w:p>
      <w:pPr>
        <w:pStyle w:val="12"/>
        <w:spacing w:before="0" w:beforeAutospacing="0" w:after="0" w:afterAutospacing="0" w:line="596"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王老师  023-74512214</w:t>
      </w:r>
    </w:p>
    <w:p>
      <w:pPr>
        <w:pStyle w:val="11"/>
        <w:autoSpaceDE w:val="0"/>
        <w:spacing w:line="596" w:lineRule="exact"/>
        <w:ind w:firstLine="640"/>
        <w:jc w:val="both"/>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单位：</w:t>
            </w:r>
            <w:r>
              <w:rPr>
                <w:sz w:val="20"/>
              </w:rPr>
              <w:t>垫江县电教信息中心</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219.52</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157.57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47.38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219.52</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219.52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219.52</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219.52</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28"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sz w:val="20"/>
              </w:rPr>
              <w:t>垫江县电教信息中心</w:t>
            </w:r>
          </w:p>
        </w:tc>
        <w:tc>
          <w:tcPr>
            <w:tcW w:w="144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28"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4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34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8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2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8"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3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219.52</w:t>
            </w:r>
            <w:r>
              <w:rPr>
                <w:rFonts w:ascii="Times New Roman" w:hAnsi="Times New Roman"/>
                <w:b/>
                <w:color w:val="000000"/>
                <w:sz w:val="20"/>
              </w:rPr>
              <w:t xml:space="preserve"> </w:t>
            </w:r>
          </w:p>
        </w:tc>
        <w:tc>
          <w:tcPr>
            <w:tcW w:w="14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219.52</w:t>
            </w:r>
            <w:r>
              <w:rPr>
                <w:rFonts w:ascii="Times New Roman" w:hAnsi="Times New Roman"/>
                <w:b/>
                <w:color w:val="000000"/>
                <w:sz w:val="20"/>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157.57</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157.57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教育管理事务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157.16</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157.16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2050199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其他教育管理事务支出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157.16</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157.16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0.41</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0.41</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0.41</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0.41</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47.38</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47.38</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47.38</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47.38</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17.13</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17.13</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8.59</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21.66</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6.59</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6.59</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6.59</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7.99</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7.99</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7.99</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p>
    <w:tbl>
      <w:tblPr>
        <w:tblStyle w:val="7"/>
        <w:tblW w:w="15322" w:type="dxa"/>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3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垫江县电教信息中心 </w:t>
            </w:r>
          </w:p>
        </w:tc>
        <w:tc>
          <w:tcPr>
            <w:tcW w:w="176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3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8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219.52</w:t>
            </w:r>
            <w:r>
              <w:rPr>
                <w:rFonts w:ascii="Times New Roman" w:hAnsi="Times New Roman"/>
                <w:b/>
                <w:color w:val="000000"/>
                <w:sz w:val="20"/>
              </w:rPr>
              <w:t xml:space="preserve"> </w:t>
            </w:r>
          </w:p>
        </w:tc>
        <w:tc>
          <w:tcPr>
            <w:tcW w:w="17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219.52</w:t>
            </w:r>
            <w:r>
              <w:rPr>
                <w:rFonts w:ascii="Times New Roman" w:hAnsi="Times New Roman"/>
                <w:b/>
                <w:color w:val="000000"/>
                <w:sz w:val="20"/>
              </w:rPr>
              <w:t xml:space="preserve"> </w:t>
            </w:r>
          </w:p>
        </w:tc>
        <w:tc>
          <w:tcPr>
            <w:tcW w:w="16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157.57</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157.57</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教育管理事务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157.16</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157.16</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2050199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其他教育管理事务支出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157.16</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157.16</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0.41</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0.41</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0.41</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0.41</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47.38</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47.38</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47.38</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47.38</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17.13</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17.13</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8.59</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8.59</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21.66</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21.66</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6.59</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6.59</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6.59</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6.59</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6.59</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6.59</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7.99</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7.99</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7.99</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7.99</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7.99</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7.99</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垫江县电教信息中心</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219.52</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157.57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157.57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47.38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47.38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219.52</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219.52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219.52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219.52</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219.52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219.52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06"/>
        <w:gridCol w:w="4073"/>
        <w:gridCol w:w="3306"/>
        <w:gridCol w:w="3297"/>
        <w:gridCol w:w="3340"/>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5"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垫江县电教信息中心</w:t>
            </w: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3"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0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7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219.52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219.52</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157.57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157.57</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157.16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157.16</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其他教育管理事务支出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157.16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157.16</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0.41</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0.41</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0.41</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47.38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47.38</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47.38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47.38</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17.13</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17.13</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8.59</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21.66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21.66</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6.59</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6.59</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6.59</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7.99</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7.99</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7.99</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垫江县电教信息中心</w:t>
            </w:r>
          </w:p>
        </w:tc>
        <w:tc>
          <w:tcPr>
            <w:tcW w:w="141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1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2"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5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172.19</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25.67</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40.62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85.73</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17.13</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8.59</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6.59</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7.99</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4.44</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193.85</w:t>
            </w:r>
            <w:r>
              <w:rPr>
                <w:rFonts w:ascii="Times New Roman" w:hAnsi="Times New Roman"/>
                <w:color w:val="000000"/>
                <w:sz w:val="18"/>
              </w:rPr>
              <w:t xml:space="preserve"> </w:t>
            </w:r>
          </w:p>
        </w:tc>
        <w:tc>
          <w:tcPr>
            <w:tcW w:w="8655"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25.67</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垫江县电教信息中心</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垫江县电教信息中心</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30" w:type="dxa"/>
        <w:tblInd w:w="0" w:type="dxa"/>
        <w:tblLayout w:type="fixed"/>
        <w:tblCellMar>
          <w:top w:w="0" w:type="dxa"/>
          <w:left w:w="170" w:type="dxa"/>
          <w:bottom w:w="0" w:type="dxa"/>
          <w:right w:w="170" w:type="dxa"/>
        </w:tblCellMar>
      </w:tblPr>
      <w:tblGrid>
        <w:gridCol w:w="3176"/>
        <w:gridCol w:w="2416"/>
        <w:gridCol w:w="2374"/>
        <w:gridCol w:w="3671"/>
        <w:gridCol w:w="2493"/>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6"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4"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1"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3"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2"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垫江县电教信息中心</w:t>
            </w:r>
          </w:p>
        </w:tc>
        <w:tc>
          <w:tcPr>
            <w:tcW w:w="23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1"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86"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0.45</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6.05</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0" w:usb1="00000000" w:usb2="00000000" w:usb3="00000000" w:csb0="00000000" w:csb1="00000000"/>
  </w:font>
  <w:font w:name="方正仿宋_GBK">
    <w:panose1 w:val="02000000000000000000"/>
    <w:charset w:val="86"/>
    <w:family w:val="script"/>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方正楷体_GBK">
    <w:panose1 w:val="02000000000000000000"/>
    <w:charset w:val="86"/>
    <w:family w:val="script"/>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4098" o:spid="_x0000_s4098" o:spt="202" type="#_x0000_t202" style="position:absolute;left:0pt;margin-top:0pt;height:144pt;width:144pt;mso-position-horizontal:center;mso-position-horizontal-relative:margin;mso-wrap-style:none;z-index:251661312;mso-width-relative:page;mso-height-relative:page;" filled="f" stroked="f" coordsize="21600,21600" o:allowoverlap="f">
          <v:path/>
          <v:fill on="f" focussize="0,0"/>
          <v:stroke on="f" weight="0.5pt" joinstyle="miter"/>
          <v:imagedata o:title=""/>
          <o:lock v:ext="edit"/>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12 -</w:t>
                </w:r>
                <w:r>
                  <w:fldChar w:fldCharType="end"/>
                </w:r>
                <w:r>
                  <w:t xml:space="preserve"> </w:t>
                </w:r>
              </w:p>
            </w:txbxContent>
          </v:textbox>
        </v:shape>
      </w:pict>
    </w:r>
    <w:r>
      <w:rPr>
        <w:rFonts w:hint="default"/>
      </w:rPr>
      <w:pict>
        <v:shape id="_x0000_s4099" o:spid="_x0000_s4099"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HorizontalSpacing w:val="120"/>
  <w:drawingGridVerticalSpacing w:val="163"/>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693212"/>
    <w:rsid w:val="006A4AE5"/>
    <w:rsid w:val="00770383"/>
    <w:rsid w:val="007819D4"/>
    <w:rsid w:val="007B419D"/>
    <w:rsid w:val="007B7C4B"/>
    <w:rsid w:val="007C1821"/>
    <w:rsid w:val="007D3D39"/>
    <w:rsid w:val="008B4012"/>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44D44"/>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084805"/>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943EB7"/>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A4A8F"/>
    <w:rsid w:val="1ECF0A66"/>
    <w:rsid w:val="1EF67CA4"/>
    <w:rsid w:val="1F020D3A"/>
    <w:rsid w:val="1F2C5189"/>
    <w:rsid w:val="1F4B0B02"/>
    <w:rsid w:val="1FBB35CD"/>
    <w:rsid w:val="1FCD26AF"/>
    <w:rsid w:val="20642787"/>
    <w:rsid w:val="21556F04"/>
    <w:rsid w:val="22403BD3"/>
    <w:rsid w:val="22AD3177"/>
    <w:rsid w:val="235417B6"/>
    <w:rsid w:val="24B92327"/>
    <w:rsid w:val="24C14514"/>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61C49"/>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8173</Words>
  <Characters>10420</Characters>
  <Lines>95</Lines>
  <Paragraphs>26</Paragraphs>
  <TotalTime>1</TotalTime>
  <ScaleCrop>false</ScaleCrop>
  <LinksUpToDate>false</LinksUpToDate>
  <CharactersWithSpaces>11450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2025-09-22T06:45:00Z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BB46EABDBB2749749395447164B066B3_12</vt:lpwstr>
  </property>
  <property fmtid="{D5CDD505-2E9C-101B-9397-08002B2CF9AE}" pid="4" name="KSOTemplateDocerSaveRecord">
    <vt:lpwstr>eyJoZGlkIjoiNjM0Zjk5YTc4NjQ1NmYyOGViZjRkNWIzZWJhYTE3YWEiLCJ1c2VySWQiOiIzODk0NTM2OTAifQ==</vt:lpwstr>
  </property>
</Properties>
</file>