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垫江县第十一中学校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实施九年制义务教育。适龄青少年义务教育；全面推进素质教育；负责学校卫生、安全、稳定；学校经费与校产管理；师资队伍建设；制定本区域教育发展规划。</w:t>
      </w:r>
    </w:p>
    <w:p>
      <w:pPr>
        <w:spacing w:line="600" w:lineRule="exact"/>
        <w:ind w:firstLine="643" w:firstLineChars="200"/>
        <w:rPr>
          <w:rFonts w:hint="default" w:eastAsia="方正楷体_GBK"/>
          <w:b/>
          <w:bCs/>
          <w:sz w:val="32"/>
          <w:szCs w:val="32"/>
        </w:rPr>
      </w:pPr>
      <w:r>
        <w:rPr>
          <w:rFonts w:eastAsia="方正楷体_GBK"/>
          <w:b/>
          <w:bCs/>
          <w:sz w:val="32"/>
          <w:szCs w:val="32"/>
        </w:rPr>
        <w:t>（二）机构设置</w:t>
      </w:r>
    </w:p>
    <w:p>
      <w:pPr>
        <w:pStyle w:val="6"/>
        <w:shd w:val="clear" w:color="auto" w:fill="FFFFFF"/>
        <w:spacing w:before="0" w:beforeAutospacing="0" w:after="0" w:afterAutospacing="0" w:line="600" w:lineRule="exact"/>
        <w:ind w:firstLine="640" w:firstLineChars="200"/>
        <w:rPr>
          <w:rFonts w:eastAsia="方正仿宋_GBK"/>
          <w:sz w:val="32"/>
        </w:rPr>
      </w:pPr>
      <w:r>
        <w:rPr>
          <w:rFonts w:eastAsia="方正仿宋_GBK"/>
          <w:sz w:val="32"/>
          <w:szCs w:val="21"/>
        </w:rPr>
        <w:t>学校单位领导职数4名(校长1名、副校长3名)，</w:t>
      </w:r>
      <w:r>
        <w:rPr>
          <w:rFonts w:eastAsia="方正仿宋_GBK"/>
          <w:sz w:val="32"/>
          <w:szCs w:val="32"/>
        </w:rPr>
        <w:t>本单位内设办公室、德育处、教务处、教科处、后勤处、安稳办</w:t>
      </w:r>
      <w:r>
        <w:rPr>
          <w:rFonts w:eastAsia="方正仿宋_GBK"/>
          <w:sz w:val="32"/>
        </w:rPr>
        <w:t>。</w:t>
      </w:r>
    </w:p>
    <w:p>
      <w:pPr>
        <w:pStyle w:val="6"/>
        <w:shd w:val="clear" w:color="auto" w:fill="FFFFFF"/>
        <w:spacing w:before="0" w:beforeAutospacing="0" w:after="0" w:afterAutospacing="0" w:line="600" w:lineRule="exact"/>
        <w:ind w:firstLine="640" w:firstLineChars="200"/>
        <w:rPr>
          <w:rFonts w:hint="default" w:ascii="方正黑体_GBK" w:hAnsi="黑体" w:eastAsia="方正黑体_GBK" w:cs="仿宋_GB2312"/>
          <w:sz w:val="32"/>
          <w:szCs w:val="24"/>
          <w:lang w:val="en-US" w:eastAsia="zh-CN" w:bidi="ar-SA"/>
        </w:rPr>
      </w:pPr>
      <w:r>
        <w:rPr>
          <w:rFonts w:hint="eastAsia" w:ascii="方正黑体_GBK" w:hAnsi="黑体" w:eastAsia="方正黑体_GBK" w:cs="仿宋_GB2312"/>
          <w:sz w:val="32"/>
          <w:szCs w:val="24"/>
          <w:lang w:val="en-US" w:eastAsia="zh-CN" w:bidi="ar-SA"/>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2024年度收入总计2297.12万元，支出总计</w:t>
      </w:r>
      <w:r>
        <w:rPr>
          <w:rFonts w:ascii="方正仿宋_GBK" w:hAnsi="方正仿宋_GBK" w:eastAsia="方正仿宋_GBK" w:cs="方正仿宋_GBK"/>
          <w:sz w:val="32"/>
          <w:szCs w:val="32"/>
        </w:rPr>
        <w:t>2297.12</w:t>
      </w:r>
      <w:r>
        <w:rPr>
          <w:rFonts w:ascii="方正仿宋_GBK" w:hAnsi="方正仿宋_GBK" w:eastAsia="方正仿宋_GBK" w:cs="方正仿宋_GBK"/>
          <w:sz w:val="32"/>
          <w:szCs w:val="32"/>
          <w:shd w:val="clear" w:color="auto" w:fill="FFFFFF"/>
        </w:rPr>
        <w:t>万元。收、支与2023年度相比，减少509.55万元，下降18.15%，主要原因是2023年清算补发以前年度超额绩效和健康休养费。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2024年度收入合计2295.03万元，与2023年度相比，减少471.12万元，下降17.03%，主要原因是2023年清算补发以前年度超额绩效和健康休养费。其中：财政拨款收入</w:t>
      </w:r>
      <w:r>
        <w:rPr>
          <w:rFonts w:ascii="方正仿宋_GBK" w:hAnsi="方正仿宋_GBK" w:eastAsia="方正仿宋_GBK" w:cs="方正仿宋_GBK"/>
          <w:sz w:val="32"/>
          <w:szCs w:val="32"/>
        </w:rPr>
        <w:t>2186.91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95.29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108.12</w:t>
      </w:r>
      <w:r>
        <w:rPr>
          <w:rFonts w:ascii="方正仿宋_GBK" w:hAnsi="方正仿宋_GBK" w:eastAsia="方正仿宋_GBK" w:cs="方正仿宋_GBK"/>
          <w:sz w:val="32"/>
          <w:szCs w:val="32"/>
          <w:shd w:val="clear" w:color="auto" w:fill="FFFFFF"/>
        </w:rPr>
        <w:t>万元，占4.71%。此外，使用非财政拨款结余和专用结余</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2293.34</w:t>
      </w:r>
      <w:r>
        <w:rPr>
          <w:rFonts w:ascii="方正仿宋_GBK" w:hAnsi="方正仿宋_GBK" w:eastAsia="方正仿宋_GBK" w:cs="方正仿宋_GBK"/>
          <w:sz w:val="32"/>
          <w:szCs w:val="32"/>
          <w:shd w:val="clear" w:color="auto" w:fill="FFFFFF"/>
        </w:rPr>
        <w:t>万元，与2023年度相比，减少505.74万元，下降18.07%，主要原因是2023年清算补发以前年度超额绩效和健康休养费。其中：基本支出</w:t>
      </w:r>
      <w:r>
        <w:rPr>
          <w:rFonts w:ascii="方正仿宋_GBK" w:hAnsi="方正仿宋_GBK" w:eastAsia="方正仿宋_GBK" w:cs="方正仿宋_GBK"/>
          <w:sz w:val="32"/>
          <w:szCs w:val="32"/>
        </w:rPr>
        <w:t>2085.42</w:t>
      </w:r>
      <w:r>
        <w:rPr>
          <w:rFonts w:ascii="方正仿宋_GBK" w:hAnsi="方正仿宋_GBK" w:eastAsia="方正仿宋_GBK" w:cs="方正仿宋_GBK"/>
          <w:sz w:val="32"/>
          <w:szCs w:val="32"/>
          <w:shd w:val="clear" w:color="auto" w:fill="FFFFFF"/>
        </w:rPr>
        <w:t>万元，占90.93%；项目支出</w:t>
      </w:r>
      <w:r>
        <w:rPr>
          <w:rFonts w:ascii="方正仿宋_GBK" w:hAnsi="方正仿宋_GBK" w:eastAsia="方正仿宋_GBK" w:cs="方正仿宋_GBK"/>
          <w:sz w:val="32"/>
          <w:szCs w:val="32"/>
        </w:rPr>
        <w:t>207.92</w:t>
      </w:r>
      <w:r>
        <w:rPr>
          <w:rFonts w:ascii="方正仿宋_GBK" w:hAnsi="方正仿宋_GBK" w:eastAsia="方正仿宋_GBK" w:cs="方正仿宋_GBK"/>
          <w:sz w:val="32"/>
          <w:szCs w:val="32"/>
          <w:shd w:val="clear" w:color="auto" w:fill="FFFFFF"/>
        </w:rPr>
        <w:t>万元，占9.07%；经营支出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2024年度财政拨款收、支总计2186.91万元。与2023年相比，财政拨款收、支总计各减少437.25万元，下降16.66%。主要原因是上年清算补发以前年度超额绩效和健康休养费。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2186.91</w:t>
      </w:r>
      <w:r>
        <w:rPr>
          <w:rFonts w:ascii="方正仿宋_GBK" w:hAnsi="方正仿宋_GBK" w:eastAsia="方正仿宋_GBK" w:cs="方正仿宋_GBK"/>
          <w:sz w:val="32"/>
          <w:szCs w:val="32"/>
          <w:shd w:val="clear" w:color="auto" w:fill="FFFFFF"/>
        </w:rPr>
        <w:t>万元，与2023年度相比，减少434.28万元，下降16.57%。主要原因是2023年清算补发以前年度超额绩效和健康休养费。较年初预算数增加247.50万元，增长12.76%。主要原因是补缴了以前年度养老保险和职业年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2186.91</w:t>
      </w:r>
      <w:r>
        <w:rPr>
          <w:rFonts w:ascii="方正仿宋_GBK" w:hAnsi="方正仿宋_GBK" w:eastAsia="方正仿宋_GBK" w:cs="方正仿宋_GBK"/>
          <w:sz w:val="32"/>
          <w:szCs w:val="32"/>
          <w:shd w:val="clear" w:color="auto" w:fill="FFFFFF"/>
        </w:rPr>
        <w:t>万元，与2023年度相比，减少434.28万元，下降16.57%。主要原因是2023年清算补发以前年度超额绩效和健康休养费。较年初预算数增加247.50万元，增长12.76%。主要原因是补缴了以前年度养老保险和职业年金。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1597.82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73.06</w:t>
      </w:r>
      <w:r>
        <w:rPr>
          <w:rFonts w:ascii="方正仿宋_GBK" w:hAnsi="方正仿宋_GBK" w:eastAsia="方正仿宋_GBK" w:cs="方正仿宋_GBK"/>
          <w:sz w:val="32"/>
          <w:szCs w:val="32"/>
          <w:shd w:val="clear" w:color="auto" w:fill="FFFFFF"/>
        </w:rPr>
        <w:t>%，较年初预算数增加132.59万元，增长9.05%，主要原因是本年预算执行中因教职工正常晋升、岗位职级变化、校舍维修维护增加所致。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414.16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18.94</w:t>
      </w:r>
      <w:r>
        <w:rPr>
          <w:rFonts w:ascii="方正仿宋_GBK" w:hAnsi="方正仿宋_GBK" w:eastAsia="方正仿宋_GBK" w:cs="方正仿宋_GBK"/>
          <w:sz w:val="32"/>
          <w:szCs w:val="32"/>
          <w:shd w:val="clear" w:color="auto" w:fill="FFFFFF"/>
        </w:rPr>
        <w:t>%，较年初预算数增加125.73万元，增长43.59%，主要原因是本年预算执行中将超额绩效纳入养老保险和职业年金基数增加</w:t>
      </w:r>
      <w:bookmarkStart w:id="0" w:name="_GoBack"/>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80.68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w:t>
      </w:r>
      <w:r>
        <w:rPr>
          <w:rFonts w:ascii="方正仿宋_GBK" w:hAnsi="方正仿宋_GBK" w:eastAsia="方正仿宋_GBK" w:cs="方正仿宋_GBK"/>
          <w:sz w:val="32"/>
          <w:szCs w:val="32"/>
          <w:shd w:val="clear" w:color="auto" w:fill="FFFFFF"/>
        </w:rPr>
        <w:t>%，较年初预算数减少3.75万元，下降4.44%，主要原因是本年预算执行中因教职工退休和调出后减少了缴费基数。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住房保障支出94.26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4.31</w:t>
      </w:r>
      <w:r>
        <w:rPr>
          <w:rFonts w:ascii="方正仿宋_GBK" w:hAnsi="方正仿宋_GBK" w:eastAsia="方正仿宋_GBK" w:cs="方正仿宋_GBK"/>
          <w:sz w:val="32"/>
          <w:szCs w:val="32"/>
          <w:shd w:val="clear" w:color="auto" w:fill="FFFFFF"/>
        </w:rPr>
        <w:t>%，较年初预算数减少7.06万元，下降6.97%，主要原因是本年预算执行中因教职工退休和调出后减少了缴费基数。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1980.93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1951.23</w:t>
      </w:r>
      <w:r>
        <w:rPr>
          <w:rFonts w:ascii="方正仿宋_GBK" w:hAnsi="方正仿宋_GBK" w:eastAsia="方正仿宋_GBK" w:cs="方正仿宋_GBK"/>
          <w:sz w:val="32"/>
          <w:szCs w:val="32"/>
          <w:shd w:val="clear" w:color="auto" w:fill="FFFFFF"/>
        </w:rPr>
        <w:t>万元，与2023年度相比，减少419.01万元，下降17.68%，主要原因是2023年清算补发以前年度超额绩效和健康休养费。人员经费用途主要包括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29.69</w:t>
      </w:r>
      <w:r>
        <w:rPr>
          <w:rFonts w:ascii="方正仿宋_GBK" w:hAnsi="方正仿宋_GBK" w:eastAsia="方正仿宋_GBK" w:cs="方正仿宋_GBK"/>
          <w:sz w:val="32"/>
          <w:szCs w:val="32"/>
          <w:shd w:val="clear" w:color="auto" w:fill="FFFFFF"/>
        </w:rPr>
        <w:t>万元，与2023年度相比，减少7.05万元，下降19.19%，主要原因是工会经费、培训费、福利费的预算基数减少所致。公用经费用途主要包括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万元，与2023年度相比，减少2.97万元，下降100.00%，本年支出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万元，与2023年度相比，减少2.97万元，下降100.00%，主要原因是2023年的少年宫建设项目基本完成，2024年不再拨入资金。</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3.97</w:t>
      </w:r>
      <w:r>
        <w:rPr>
          <w:rFonts w:ascii="方正仿宋_GBK" w:hAnsi="方正仿宋_GBK" w:eastAsia="方正仿宋_GBK" w:cs="方正仿宋_GBK"/>
          <w:sz w:val="32"/>
          <w:szCs w:val="32"/>
          <w:shd w:val="clear" w:color="auto" w:fill="FFFFFF"/>
        </w:rPr>
        <w:t>万元，与2023年度相比，减少6.34万元，下降61.49%，主要原因是学校压缩公用经费支出，减少了师资队伍的培训。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个二级项目开展了绩效自评，涉及财政拨款项目支出资金205.99万元。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678170" cy="4864735"/>
            <wp:effectExtent l="0" t="0" r="825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78170" cy="4864735"/>
                    </a:xfrm>
                    <a:prstGeom prst="rect">
                      <a:avLst/>
                    </a:prstGeom>
                    <a:noFill/>
                    <a:ln>
                      <a:noFill/>
                    </a:ln>
                  </pic:spPr>
                </pic:pic>
              </a:graphicData>
            </a:graphic>
          </wp:inline>
        </w:drawing>
      </w:r>
      <w:r>
        <w:drawing>
          <wp:inline distT="0" distB="0" distL="114300" distR="114300">
            <wp:extent cx="5983605" cy="4931410"/>
            <wp:effectExtent l="0" t="0" r="762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983605" cy="4931410"/>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lang w:eastAsia="zh-CN"/>
        </w:rPr>
        <w:t>陈</w:t>
      </w:r>
      <w:r>
        <w:rPr>
          <w:rFonts w:ascii="方正仿宋_GBK" w:hAnsi="方正仿宋_GBK" w:eastAsia="方正仿宋_GBK" w:cs="方正仿宋_GBK"/>
          <w:sz w:val="32"/>
        </w:rPr>
        <w:t>老师   023-74542734</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垫江县第十一中学校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2,186.91</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1,704.24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108.12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414.16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94.26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2,295.03</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2,293.34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2,297.12</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2,297.12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垫江县第十一中学校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2,295.03</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2,186.91</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108.12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1,705.94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1,597.82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108.12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1,700.62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1,592.50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108.12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1,700.62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1,592.50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108.12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414.16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414.16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404.08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404.08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102.87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102.87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10.07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10.07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94.26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94.26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垫江县第十一中学校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2,293.34</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2,085.42</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207.92</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1,704.24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1,496.62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207.62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1,698.92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1,494.80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204.12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1,698.92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1,494.80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204.12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2.85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2.85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414.16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413.86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404.08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403.79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102.87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102.87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95.66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0.30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10.07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10.07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80.68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94.26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94.26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垫江县第十一中学校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1,597.82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1,597.82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414.16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414.16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80.68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80.68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94.26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94.26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2,186.91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垫江县第十一中学校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9" w:hRule="exac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9"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2,186.91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1,980.93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205.99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1,597.82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1,392.13</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205.69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1,592.50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1,390.31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202.19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1,592.50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1,390.31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202.19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2.85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2.85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2.85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414.16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413.86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404.08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403.79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205.26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205.26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102.87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102.87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95.95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95.66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0.30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10.07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10.07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10.07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80.68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80.68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80.68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94.26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94.26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94.26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rPr>
          <w:rFonts w:cs="宋体"/>
          <w:sz w:val="20"/>
          <w:szCs w:val="20"/>
        </w:rPr>
      </w:pP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垫江县第十一中学校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1,845.51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29.69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422.88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60.25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859.96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205.26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102.87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80.68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94.26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14.96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105.73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1.82</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10.07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72.15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23.13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17.51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1,951.23</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29.69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垫江县第十一中学校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垫江县第十一中学校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垫江县第十一中学校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3.97</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4.80</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617D4"/>
    <w:rsid w:val="001D3BB7"/>
    <w:rsid w:val="001D3EB6"/>
    <w:rsid w:val="001E3B00"/>
    <w:rsid w:val="002B254B"/>
    <w:rsid w:val="002F6162"/>
    <w:rsid w:val="00466C9B"/>
    <w:rsid w:val="00550ABE"/>
    <w:rsid w:val="00770383"/>
    <w:rsid w:val="007819D4"/>
    <w:rsid w:val="007B419D"/>
    <w:rsid w:val="007B7C4B"/>
    <w:rsid w:val="007D3D39"/>
    <w:rsid w:val="0081377C"/>
    <w:rsid w:val="00994AF7"/>
    <w:rsid w:val="009B67B8"/>
    <w:rsid w:val="009D2B67"/>
    <w:rsid w:val="00A566F9"/>
    <w:rsid w:val="00AF2751"/>
    <w:rsid w:val="00B03CCD"/>
    <w:rsid w:val="00BC2C26"/>
    <w:rsid w:val="00BE2B89"/>
    <w:rsid w:val="00C10E9E"/>
    <w:rsid w:val="00C20C3E"/>
    <w:rsid w:val="00CE228A"/>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AC0185"/>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35638"/>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647B7B"/>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D656F9"/>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93093"/>
    <w:rsid w:val="772E1EBA"/>
    <w:rsid w:val="7760742A"/>
    <w:rsid w:val="781926BC"/>
    <w:rsid w:val="796D60A4"/>
    <w:rsid w:val="79A031D5"/>
    <w:rsid w:val="7A1525F7"/>
    <w:rsid w:val="7B420052"/>
    <w:rsid w:val="7BD06A28"/>
    <w:rsid w:val="7C3A7C0B"/>
    <w:rsid w:val="7C5248E4"/>
    <w:rsid w:val="7C566698"/>
    <w:rsid w:val="7C5866A3"/>
    <w:rsid w:val="7D7406BB"/>
    <w:rsid w:val="7DE94331"/>
    <w:rsid w:val="7E886E4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_Style 1"/>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8498</Words>
  <Characters>11307</Characters>
  <Lines>101</Lines>
  <Paragraphs>28</Paragraphs>
  <TotalTime>0</TotalTime>
  <ScaleCrop>false</ScaleCrop>
  <LinksUpToDate>false</LinksUpToDate>
  <CharactersWithSpaces>12398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